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Sousa Gregory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Deputy CLO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(1)(2)(3)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</w:t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38.78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4,992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at a rate of 1/3 per year commencing on March 21,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 which vest at a rate of 1/3 per year commencing on March 20,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Restricted stock units which vest at a rate of 1/3 per year commencing on March 19,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transactions not required to be reported pursuant to Section 16 of the Securities Exchange Act of 1934, as amended.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deemed investments in connection with the Performance-Based SERP. Phantom stock interests under the Performance-Based SERP may be settled in shares of Company stock upon distribution to the reporting person, based on their prior election.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5279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696</Words>
  <Characters>3719</Characters>
  <CharactersWithSpaces>4333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