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5" w:lineRule="exact"/>
        <w:rPr>
          <w:sz w:val="24"/>
          <w:szCs w:val="24"/>
          <w:color w:val="auto"/>
        </w:rPr>
      </w:pPr>
    </w:p>
    <w:tbl>
      <w:tblPr>
        <w:tblLayout w:type="fixed"/>
        <w:tblInd w:w="200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80" w:type="dxa"/>
            <w:vAlign w:val="bottom"/>
            <w:gridSpan w:val="5"/>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CURRENT REPORT</w:t>
            </w:r>
          </w:p>
        </w:tc>
      </w:tr>
      <w:tr>
        <w:trPr>
          <w:trHeight w:val="280"/>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20" w:type="dxa"/>
            <w:vAlign w:val="bottom"/>
            <w:gridSpan w:val="6"/>
          </w:tcPr>
          <w:p>
            <w:pPr>
              <w:jc w:val="center"/>
              <w:ind w:right="1400"/>
              <w:spacing w:after="0"/>
              <w:rPr>
                <w:sz w:val="20"/>
                <w:szCs w:val="20"/>
                <w:color w:val="auto"/>
              </w:rPr>
            </w:pPr>
            <w:r>
              <w:rPr>
                <w:rFonts w:ascii="Times New Roman" w:cs="Times New Roman" w:eastAsia="Times New Roman" w:hAnsi="Times New Roman"/>
                <w:sz w:val="14"/>
                <w:szCs w:val="14"/>
                <w:color w:val="auto"/>
              </w:rPr>
              <w:t>PURSUANT TO SECTION 13 OR 15(D) OF</w:t>
            </w:r>
          </w:p>
        </w:tc>
      </w:tr>
      <w:tr>
        <w:trPr>
          <w:trHeight w:val="188"/>
        </w:trPr>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520" w:type="dxa"/>
            <w:vAlign w:val="bottom"/>
            <w:gridSpan w:val="6"/>
          </w:tcPr>
          <w:p>
            <w:pPr>
              <w:jc w:val="center"/>
              <w:ind w:right="1380"/>
              <w:spacing w:after="0"/>
              <w:rPr>
                <w:sz w:val="20"/>
                <w:szCs w:val="20"/>
                <w:color w:val="auto"/>
              </w:rPr>
            </w:pPr>
            <w:r>
              <w:rPr>
                <w:rFonts w:ascii="Times New Roman" w:cs="Times New Roman" w:eastAsia="Times New Roman" w:hAnsi="Times New Roman"/>
                <w:sz w:val="14"/>
                <w:szCs w:val="14"/>
                <w:color w:val="auto"/>
              </w:rPr>
              <w:t>THE SECURITIES EXCHANGE ACT OF 1934</w:t>
            </w:r>
          </w:p>
        </w:tc>
      </w:tr>
      <w:tr>
        <w:trPr>
          <w:trHeight w:val="306"/>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20" w:type="dxa"/>
            <w:vAlign w:val="bottom"/>
            <w:gridSpan w:val="7"/>
          </w:tcPr>
          <w:p>
            <w:pPr>
              <w:jc w:val="center"/>
              <w:ind w:right="900"/>
              <w:spacing w:after="0"/>
              <w:rPr>
                <w:sz w:val="20"/>
                <w:szCs w:val="20"/>
                <w:color w:val="auto"/>
              </w:rPr>
            </w:pPr>
            <w:r>
              <w:rPr>
                <w:rFonts w:ascii="Times New Roman" w:cs="Times New Roman" w:eastAsia="Times New Roman" w:hAnsi="Times New Roman"/>
                <w:sz w:val="14"/>
                <w:szCs w:val="14"/>
                <w:color w:val="auto"/>
              </w:rPr>
              <w:t>Date of Report (Date of earliest event reported): May 26, 2026</w:t>
            </w:r>
          </w:p>
        </w:tc>
      </w:tr>
      <w:tr>
        <w:trPr>
          <w:trHeight w:val="271"/>
        </w:trPr>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Orange County Bancorp, Inc.</w:t>
            </w:r>
          </w:p>
        </w:tc>
        <w:tc>
          <w:tcPr>
            <w:tcW w:w="2040" w:type="dxa"/>
            <w:vAlign w:val="bottom"/>
            <w:gridSpan w:val="4"/>
          </w:tcPr>
          <w:p>
            <w:pPr>
              <w:spacing w:after="0"/>
              <w:rPr>
                <w:sz w:val="23"/>
                <w:szCs w:val="23"/>
                <w:color w:val="auto"/>
              </w:rPr>
            </w:pPr>
          </w:p>
        </w:tc>
      </w:tr>
      <w:tr>
        <w:trPr>
          <w:trHeight w:val="177"/>
        </w:trPr>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20" w:type="dxa"/>
            <w:vAlign w:val="bottom"/>
            <w:gridSpan w:val="6"/>
          </w:tcPr>
          <w:p>
            <w:pPr>
              <w:jc w:val="center"/>
              <w:ind w:right="1380"/>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tc>
      </w:tr>
      <w:tr>
        <w:trPr>
          <w:trHeight w:val="271"/>
        </w:trPr>
        <w:tc>
          <w:tcPr>
            <w:tcW w:w="380" w:type="dxa"/>
            <w:vAlign w:val="bottom"/>
          </w:tcPr>
          <w:p>
            <w:pPr>
              <w:spacing w:after="0"/>
              <w:rPr>
                <w:sz w:val="23"/>
                <w:szCs w:val="23"/>
                <w:color w:val="auto"/>
              </w:rPr>
            </w:pPr>
          </w:p>
        </w:tc>
        <w:tc>
          <w:tcPr>
            <w:tcW w:w="12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color w:val="auto"/>
              </w:rPr>
              <w:t>Delaware</w:t>
            </w:r>
          </w:p>
        </w:tc>
        <w:tc>
          <w:tcPr>
            <w:tcW w:w="47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001-40711</w:t>
            </w:r>
          </w:p>
        </w:tc>
        <w:tc>
          <w:tcPr>
            <w:tcW w:w="260" w:type="dxa"/>
            <w:vAlign w:val="bottom"/>
          </w:tcPr>
          <w:p>
            <w:pPr>
              <w:spacing w:after="0"/>
              <w:rPr>
                <w:sz w:val="23"/>
                <w:szCs w:val="23"/>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40"/>
        </w:trPr>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3"/>
          </w:tcPr>
          <w:p>
            <w:pPr>
              <w:jc w:val="center"/>
              <w:ind w:left="760"/>
              <w:spacing w:after="0"/>
              <w:rPr>
                <w:sz w:val="20"/>
                <w:szCs w:val="20"/>
                <w:color w:val="auto"/>
              </w:rPr>
            </w:pPr>
            <w:r>
              <w:rPr>
                <w:rFonts w:ascii="Times New Roman" w:cs="Times New Roman" w:eastAsia="Times New Roman" w:hAnsi="Times New Roman"/>
                <w:sz w:val="12"/>
                <w:szCs w:val="12"/>
                <w:color w:val="auto"/>
              </w:rPr>
              <w:t>(Commission File No.)</w:t>
            </w:r>
          </w:p>
        </w:tc>
      </w:tr>
      <w:tr>
        <w:trPr>
          <w:trHeight w:val="155"/>
        </w:trPr>
        <w:tc>
          <w:tcPr>
            <w:tcW w:w="158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w w:val="99"/>
              </w:rPr>
              <w:t>of Incorporation)</w:t>
            </w: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9"/>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212 Dolson Avenue, Middletown, New York</w:t>
            </w:r>
          </w:p>
        </w:tc>
        <w:tc>
          <w:tcPr>
            <w:tcW w:w="1940" w:type="dxa"/>
            <w:vAlign w:val="bottom"/>
            <w:gridSpan w:val="3"/>
          </w:tcPr>
          <w:p>
            <w:pPr>
              <w:spacing w:after="0"/>
              <w:rPr>
                <w:sz w:val="24"/>
                <w:szCs w:val="24"/>
                <w:color w:val="auto"/>
              </w:rPr>
            </w:pPr>
          </w:p>
        </w:tc>
      </w:tr>
      <w:tr>
        <w:trPr>
          <w:trHeight w:val="151"/>
        </w:trPr>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520" w:type="dxa"/>
            <w:vAlign w:val="bottom"/>
            <w:gridSpan w:val="6"/>
          </w:tcPr>
          <w:p>
            <w:pPr>
              <w:jc w:val="center"/>
              <w:ind w:right="1960"/>
              <w:spacing w:after="0"/>
              <w:rPr>
                <w:sz w:val="20"/>
                <w:szCs w:val="20"/>
                <w:color w:val="auto"/>
              </w:rPr>
            </w:pPr>
            <w:r>
              <w:rPr>
                <w:rFonts w:ascii="Times New Roman" w:cs="Times New Roman" w:eastAsia="Times New Roman" w:hAnsi="Times New Roman"/>
                <w:sz w:val="12"/>
                <w:szCs w:val="12"/>
                <w:color w:val="auto"/>
              </w:rPr>
              <w:t>(Address of Principal Executive Offices)</w:t>
            </w:r>
          </w:p>
        </w:tc>
      </w:tr>
    </w:tbl>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u w:val="single" w:color="auto"/>
          <w:color w:val="auto"/>
        </w:rPr>
        <w:t>(845) 341-5000</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7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90" w:lineRule="exact"/>
        <w:rPr>
          <w:sz w:val="24"/>
          <w:szCs w:val="24"/>
          <w:color w:val="auto"/>
        </w:rPr>
      </w:pPr>
    </w:p>
    <w:p>
      <w:pPr>
        <w:ind w:left="320" w:hanging="229"/>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54" w:lineRule="exact"/>
        <w:rPr>
          <w:rFonts w:ascii="MS PGothic" w:cs="MS PGothic" w:eastAsia="MS PGothic" w:hAnsi="MS PGothic"/>
          <w:sz w:val="14"/>
          <w:szCs w:val="14"/>
          <w:color w:val="auto"/>
        </w:rPr>
      </w:pPr>
    </w:p>
    <w:p>
      <w:pPr>
        <w:ind w:left="320" w:hanging="229"/>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54" w:lineRule="exact"/>
        <w:rPr>
          <w:rFonts w:ascii="MS PGothic" w:cs="MS PGothic" w:eastAsia="MS PGothic" w:hAnsi="MS PGothic"/>
          <w:sz w:val="14"/>
          <w:szCs w:val="14"/>
          <w:color w:val="auto"/>
        </w:rPr>
      </w:pPr>
    </w:p>
    <w:p>
      <w:pPr>
        <w:ind w:left="320" w:hanging="229"/>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54" w:lineRule="exact"/>
        <w:rPr>
          <w:rFonts w:ascii="MS PGothic" w:cs="MS PGothic" w:eastAsia="MS PGothic" w:hAnsi="MS PGothic"/>
          <w:sz w:val="14"/>
          <w:szCs w:val="14"/>
          <w:color w:val="auto"/>
        </w:rPr>
      </w:pPr>
    </w:p>
    <w:p>
      <w:pPr>
        <w:ind w:right="4540" w:firstLine="91"/>
        <w:spacing w:after="0" w:line="535" w:lineRule="auto"/>
        <w:tabs>
          <w:tab w:leader="none" w:pos="32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4"/>
                <w:szCs w:val="14"/>
                <w:color w:val="auto"/>
              </w:rPr>
            </w:pPr>
          </w:p>
        </w:tc>
        <w:tc>
          <w:tcPr>
            <w:tcW w:w="5100" w:type="dxa"/>
            <w:vAlign w:val="bottom"/>
          </w:tcPr>
          <w:p>
            <w:pPr>
              <w:spacing w:after="0"/>
              <w:rPr>
                <w:sz w:val="14"/>
                <w:szCs w:val="14"/>
                <w:color w:val="auto"/>
              </w:rPr>
            </w:pPr>
          </w:p>
        </w:tc>
      </w:tr>
      <w:tr>
        <w:trPr>
          <w:trHeight w:val="182"/>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5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6"/>
        </w:trPr>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$0.25</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OBT</w:t>
            </w:r>
          </w:p>
        </w:tc>
        <w:tc>
          <w:tcPr>
            <w:tcW w:w="100" w:type="dxa"/>
            <w:vAlign w:val="bottom"/>
          </w:tcPr>
          <w:p>
            <w:pPr>
              <w:spacing w:after="0"/>
              <w:rPr>
                <w:sz w:val="16"/>
                <w:szCs w:val="16"/>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99" w:lineRule="exact"/>
        <w:rPr>
          <w:sz w:val="24"/>
          <w:szCs w:val="24"/>
          <w:color w:val="auto"/>
        </w:rPr>
      </w:pPr>
    </w:p>
    <w:p>
      <w:pPr>
        <w:ind w:right="420"/>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4"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4"/>
          <w:szCs w:val="14"/>
          <w:b w:val="1"/>
          <w:bCs w:val="1"/>
          <w:color w:val="auto"/>
        </w:rPr>
        <w:t>Item 5.07</w:t>
      </w:r>
      <w:r>
        <w:rPr>
          <w:sz w:val="20"/>
          <w:szCs w:val="20"/>
          <w:color w:val="auto"/>
        </w:rPr>
        <w:tab/>
      </w:r>
      <w:r>
        <w:rPr>
          <w:rFonts w:ascii="Times New Roman" w:cs="Times New Roman" w:eastAsia="Times New Roman" w:hAnsi="Times New Roman"/>
          <w:sz w:val="14"/>
          <w:szCs w:val="14"/>
          <w:b w:val="1"/>
          <w:bCs w:val="1"/>
          <w:u w:val="single" w:color="auto"/>
          <w:color w:val="auto"/>
        </w:rPr>
        <w:t>Submission of Matters to a Vote of Security Holders</w:t>
      </w:r>
    </w:p>
    <w:p>
      <w:pPr>
        <w:spacing w:after="0" w:line="147" w:lineRule="exact"/>
        <w:rPr>
          <w:sz w:val="20"/>
          <w:szCs w:val="20"/>
          <w:color w:val="auto"/>
        </w:rPr>
      </w:pPr>
    </w:p>
    <w:p>
      <w:pPr>
        <w:jc w:val="both"/>
        <w:ind w:left="8" w:firstLine="432"/>
        <w:spacing w:after="0" w:line="261" w:lineRule="auto"/>
        <w:rPr>
          <w:sz w:val="20"/>
          <w:szCs w:val="20"/>
          <w:color w:val="auto"/>
        </w:rPr>
      </w:pPr>
      <w:r>
        <w:rPr>
          <w:rFonts w:ascii="Times New Roman" w:cs="Times New Roman" w:eastAsia="Times New Roman" w:hAnsi="Times New Roman"/>
          <w:sz w:val="14"/>
          <w:szCs w:val="14"/>
          <w:color w:val="auto"/>
        </w:rPr>
        <w:t>The Annual Meeting of Stockholders of Orange County Bancorp, Inc. (the “Company”) was held on May 26, 2026. The matters listed below were submitted to a vote of the stockholders through the solicitation of proxies, and the proposals are described in detail in the Company’s definitive proxy statement filed with the Securities and Exchange Commission on April 15, 2026. All proposals were approved by the Company’s stockholders. The final results of the stockholder vote were as follows:</w:t>
      </w:r>
    </w:p>
    <w:p>
      <w:pPr>
        <w:spacing w:after="0" w:line="105"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Election of directors for terms of office as stated below.</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8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Michael J. Gilfeather (3 years)</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For</w:t>
            </w: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Withheld</w:t>
            </w:r>
          </w:p>
        </w:tc>
        <w:tc>
          <w:tcPr>
            <w:tcW w:w="400" w:type="dxa"/>
            <w:vAlign w:val="bottom"/>
          </w:tcPr>
          <w:p>
            <w:pPr>
              <w:spacing w:after="0"/>
              <w:rPr>
                <w:sz w:val="15"/>
                <w:szCs w:val="15"/>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Non-Votes</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w w:val="96"/>
              </w:rPr>
              <w:t>9,208,032</w:t>
            </w:r>
          </w:p>
        </w:tc>
        <w:tc>
          <w:tcPr>
            <w:tcW w:w="340" w:type="dxa"/>
            <w:vAlign w:val="bottom"/>
          </w:tcPr>
          <w:p>
            <w:pPr>
              <w:spacing w:after="0"/>
              <w:rPr>
                <w:sz w:val="12"/>
                <w:szCs w:val="12"/>
                <w:color w:val="auto"/>
              </w:rPr>
            </w:pPr>
          </w:p>
        </w:tc>
        <w:tc>
          <w:tcPr>
            <w:tcW w:w="2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51,423</w:t>
            </w:r>
          </w:p>
        </w:tc>
        <w:tc>
          <w:tcPr>
            <w:tcW w:w="400" w:type="dxa"/>
            <w:vAlign w:val="bottom"/>
          </w:tcPr>
          <w:p>
            <w:pPr>
              <w:spacing w:after="0"/>
              <w:rPr>
                <w:sz w:val="12"/>
                <w:szCs w:val="12"/>
                <w:color w:val="auto"/>
              </w:rPr>
            </w:pPr>
          </w:p>
        </w:tc>
        <w:tc>
          <w:tcPr>
            <w:tcW w:w="24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1,280,559</w:t>
            </w:r>
          </w:p>
        </w:tc>
        <w:tc>
          <w:tcPr>
            <w:tcW w:w="0" w:type="dxa"/>
            <w:vAlign w:val="bottom"/>
          </w:tcPr>
          <w:p>
            <w:pPr>
              <w:spacing w:after="0"/>
              <w:rPr>
                <w:sz w:val="1"/>
                <w:szCs w:val="1"/>
                <w:color w:val="auto"/>
              </w:rPr>
            </w:pPr>
          </w:p>
        </w:tc>
      </w:tr>
      <w:tr>
        <w:trPr>
          <w:trHeight w:val="162"/>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Marianna R. Kennedy (3 years)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8,654,151</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505,304</w:t>
            </w:r>
          </w:p>
        </w:tc>
        <w:tc>
          <w:tcPr>
            <w:tcW w:w="28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1,280,559</w:t>
            </w:r>
          </w:p>
        </w:tc>
        <w:tc>
          <w:tcPr>
            <w:tcW w:w="0" w:type="dxa"/>
            <w:vAlign w:val="bottom"/>
          </w:tcPr>
          <w:p>
            <w:pPr>
              <w:spacing w:after="0"/>
              <w:rPr>
                <w:sz w:val="1"/>
                <w:szCs w:val="1"/>
                <w:color w:val="auto"/>
              </w:rPr>
            </w:pPr>
          </w:p>
        </w:tc>
      </w:tr>
      <w:tr>
        <w:trPr>
          <w:trHeight w:val="188"/>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Richard B. Rowley (3 years)</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8,915,197</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344,258</w:t>
            </w:r>
          </w:p>
        </w:tc>
        <w:tc>
          <w:tcPr>
            <w:tcW w:w="28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1,280,559</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the appointment of Crowe LLP as the Company’s independent registered public accounting firm for the year ending December 31, 2026.</w:t>
      </w:r>
    </w:p>
    <w:p>
      <w:pPr>
        <w:spacing w:after="0" w:line="145" w:lineRule="exact"/>
        <w:rPr>
          <w:sz w:val="20"/>
          <w:szCs w:val="20"/>
          <w:color w:val="auto"/>
        </w:rPr>
      </w:pPr>
    </w:p>
    <w:tbl>
      <w:tblPr>
        <w:tblLayout w:type="fixed"/>
        <w:tblInd w:w="8" w:type="dxa"/>
        <w:tblCellMar>
          <w:top w:w="0" w:type="dxa"/>
          <w:left w:w="0" w:type="dxa"/>
          <w:bottom w:w="0" w:type="dxa"/>
          <w:right w:w="0" w:type="dxa"/>
        </w:tblCellMar>
      </w:tblPr>
      <w:tr>
        <w:trPr>
          <w:trHeight w:val="18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20" w:type="dxa"/>
            <w:vAlign w:val="bottom"/>
          </w:tcPr>
          <w:p>
            <w:pPr>
              <w:spacing w:after="0"/>
              <w:rPr>
                <w:sz w:val="15"/>
                <w:szCs w:val="15"/>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20" w:type="dxa"/>
            <w:vAlign w:val="bottom"/>
          </w:tcPr>
          <w:p>
            <w:pPr>
              <w:spacing w:after="0"/>
              <w:rPr>
                <w:sz w:val="15"/>
                <w:szCs w:val="15"/>
                <w:color w:val="auto"/>
              </w:rPr>
            </w:pPr>
          </w:p>
        </w:tc>
        <w:tc>
          <w:tcPr>
            <w:tcW w:w="24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Abstain</w:t>
            </w:r>
          </w:p>
        </w:tc>
        <w:tc>
          <w:tcPr>
            <w:tcW w:w="240" w:type="dxa"/>
            <w:vAlign w:val="bottom"/>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186"/>
        </w:trPr>
        <w:tc>
          <w:tcPr>
            <w:tcW w:w="2840" w:type="dxa"/>
            <w:vAlign w:val="bottom"/>
          </w:tcPr>
          <w:p>
            <w:pPr>
              <w:jc w:val="right"/>
              <w:ind w:right="1028"/>
              <w:spacing w:after="0"/>
              <w:rPr>
                <w:sz w:val="20"/>
                <w:szCs w:val="20"/>
                <w:color w:val="auto"/>
              </w:rPr>
            </w:pPr>
            <w:r>
              <w:rPr>
                <w:rFonts w:ascii="Times New Roman" w:cs="Times New Roman" w:eastAsia="Times New Roman" w:hAnsi="Times New Roman"/>
                <w:sz w:val="14"/>
                <w:szCs w:val="14"/>
                <w:color w:val="auto"/>
              </w:rPr>
              <w:t>10,383,141</w:t>
            </w:r>
          </w:p>
        </w:tc>
        <w:tc>
          <w:tcPr>
            <w:tcW w:w="220" w:type="dxa"/>
            <w:vAlign w:val="bottom"/>
          </w:tcPr>
          <w:p>
            <w:pPr>
              <w:spacing w:after="0"/>
              <w:rPr>
                <w:sz w:val="16"/>
                <w:szCs w:val="16"/>
                <w:color w:val="auto"/>
              </w:rPr>
            </w:pPr>
          </w:p>
        </w:tc>
        <w:tc>
          <w:tcPr>
            <w:tcW w:w="2940" w:type="dxa"/>
            <w:vAlign w:val="bottom"/>
          </w:tcPr>
          <w:p>
            <w:pPr>
              <w:jc w:val="right"/>
              <w:ind w:right="1228"/>
              <w:spacing w:after="0"/>
              <w:rPr>
                <w:sz w:val="20"/>
                <w:szCs w:val="20"/>
                <w:color w:val="auto"/>
              </w:rPr>
            </w:pPr>
            <w:r>
              <w:rPr>
                <w:rFonts w:ascii="Times New Roman" w:cs="Times New Roman" w:eastAsia="Times New Roman" w:hAnsi="Times New Roman"/>
                <w:sz w:val="14"/>
                <w:szCs w:val="14"/>
                <w:color w:val="auto"/>
              </w:rPr>
              <w:t>3,697</w:t>
            </w:r>
          </w:p>
        </w:tc>
        <w:tc>
          <w:tcPr>
            <w:tcW w:w="220" w:type="dxa"/>
            <w:vAlign w:val="bottom"/>
          </w:tcPr>
          <w:p>
            <w:pPr>
              <w:spacing w:after="0"/>
              <w:rPr>
                <w:sz w:val="16"/>
                <w:szCs w:val="16"/>
                <w:color w:val="auto"/>
              </w:rPr>
            </w:pPr>
          </w:p>
        </w:tc>
        <w:tc>
          <w:tcPr>
            <w:tcW w:w="242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153,176</w:t>
            </w:r>
          </w:p>
        </w:tc>
        <w:tc>
          <w:tcPr>
            <w:tcW w:w="24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244"/>
        </w:trPr>
        <w:tc>
          <w:tcPr>
            <w:tcW w:w="2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r>
    </w:tbl>
    <w:p>
      <w:pPr>
        <w:sectPr>
          <w:pgSz w:w="11900" w:h="16838" w:orient="portrait"/>
          <w:cols w:equalWidth="0" w:num="1">
            <w:col w:w="11308"/>
          </w:cols>
          <w:pgMar w:left="292" w:top="380" w:right="29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480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ORANGE COUNTY BANCORP, INC.</w:t>
            </w:r>
          </w:p>
        </w:tc>
      </w:tr>
      <w:tr>
        <w:trPr>
          <w:trHeight w:val="613"/>
        </w:trPr>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DATE: May 27, 2026</w:t>
            </w:r>
          </w:p>
        </w:tc>
        <w:tc>
          <w:tcPr>
            <w:tcW w:w="4800" w:type="dxa"/>
            <w:vAlign w:val="bottom"/>
            <w:gridSpan w:val="3"/>
          </w:tcPr>
          <w:p>
            <w:pPr>
              <w:ind w:left="1420"/>
              <w:spacing w:after="0"/>
              <w:rPr>
                <w:sz w:val="20"/>
                <w:szCs w:val="20"/>
                <w:color w:val="auto"/>
              </w:rPr>
            </w:pPr>
            <w:r>
              <w:rPr>
                <w:rFonts w:ascii="Times New Roman" w:cs="Times New Roman" w:eastAsia="Times New Roman" w:hAnsi="Times New Roman"/>
                <w:sz w:val="14"/>
                <w:szCs w:val="14"/>
                <w:color w:val="auto"/>
              </w:rPr>
              <w:t>By:  /s/ Michael Lesler</w:t>
            </w:r>
          </w:p>
        </w:tc>
      </w:tr>
      <w:tr>
        <w:trPr>
          <w:trHeight w:val="151"/>
        </w:trPr>
        <w:tc>
          <w:tcPr>
            <w:tcW w:w="26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4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Michael Lesler</w:t>
            </w:r>
          </w:p>
        </w:tc>
        <w:tc>
          <w:tcPr>
            <w:tcW w:w="1980" w:type="dxa"/>
            <w:vAlign w:val="bottom"/>
          </w:tcPr>
          <w:p>
            <w:pPr>
              <w:spacing w:after="0"/>
              <w:rPr>
                <w:sz w:val="13"/>
                <w:szCs w:val="13"/>
                <w:color w:val="auto"/>
              </w:rPr>
            </w:pPr>
          </w:p>
        </w:tc>
      </w:tr>
      <w:tr>
        <w:trPr>
          <w:trHeight w:val="188"/>
        </w:trPr>
        <w:tc>
          <w:tcPr>
            <w:tcW w:w="2640" w:type="dxa"/>
            <w:vAlign w:val="bottom"/>
          </w:tcPr>
          <w:p>
            <w:pPr>
              <w:spacing w:after="0"/>
              <w:rPr>
                <w:sz w:val="16"/>
                <w:szCs w:val="16"/>
                <w:color w:val="auto"/>
              </w:rPr>
            </w:pPr>
          </w:p>
        </w:tc>
        <w:tc>
          <w:tcPr>
            <w:tcW w:w="4800" w:type="dxa"/>
            <w:vAlign w:val="bottom"/>
            <w:gridSpan w:val="3"/>
          </w:tcPr>
          <w:p>
            <w:pPr>
              <w:ind w:left="17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0940"/>
      </w:cols>
      <w:pgMar w:left="300" w:top="53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2026-05-27T17:06:48Z</dcterms:created>
  <dcterms:modified xsi:type="dcterms:W3CDTF">2026-05-27T17:06:48Z</dcterms:modified>
</cp:coreProperties>
</file>