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131445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3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jc w:val="center"/>
        <w:ind w:right="-860"/>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5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Orange County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0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9"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5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2790825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212 Dolson Avenue</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Middletown, New York 10940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(845) 341-5000</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15, 2026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Fellow Stockholder:</w:t>
      </w:r>
    </w:p>
    <w:p>
      <w:pPr>
        <w:spacing w:after="0" w:line="14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2026 Annual Meeting of Stockholders of Orange County Bancorp, Inc. (the “Company”) will be held at the office of the Company located at 212 Dolson Avenue, Middletown, New York on Tuesday, May 26, 2026, at 2:00 p.m., Eastern time.</w:t>
      </w:r>
    </w:p>
    <w:p>
      <w:pPr>
        <w:spacing w:after="0" w:line="108"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enclosed Notice of Annual Meeting and Proxy Statement describes the formal business to be transacted at the annual meeting. During the annual meeting we will also report on the operations of the Company. Also enclosed for your review is our Form 10-K and Annual Report for the year ended December 31, 2025, which contains information concerning our activities and operating performance. Our directors and officers, as well as a representative of our independent registered public accounting firm, are expected to be present at the annual meeting to respond to any questions that stockholders may have.</w:t>
      </w:r>
    </w:p>
    <w:p>
      <w:pPr>
        <w:spacing w:after="0" w:line="12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business to be conducted at the annual meeting consists of the election of directors and the ratification of the appointment of Crowe LLP as our independent registered public accounting firm for the year ending December 31, 2026. The Board of Directors has determined that the matters to be considered at the annual meeting are in the best interest of the Company and its stockholders, and 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nominees for director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Crowe LLP as the Company’s independent registered public accounting firm for the year ending December 31, 2026.</w:t>
      </w:r>
    </w:p>
    <w:p>
      <w:pPr>
        <w:spacing w:after="0" w:line="10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Your vote is important, regardless of the number of shares you own and whether you plan to attend the annual meeting. I encourage you to read the attached proxy statement carefully and vote your shares as promptly as possible because a failure to obtain a sufficient number of votes could cause a delay in the annual meeting and result in additional expense to the Company. Voting in advance will not prevent you from attending the meeting and voting in person, but will assure that your vote is counted if you are unable to attend the annual meeting.</w:t>
      </w:r>
    </w:p>
    <w:p>
      <w:pPr>
        <w:spacing w:after="0" w:line="116"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color w:val="auto"/>
        </w:rPr>
        <w:t xml:space="preserve">You can vote by telephone by calling </w:t>
      </w:r>
      <w:r>
        <w:rPr>
          <w:rFonts w:ascii="Times New Roman" w:cs="Times New Roman" w:eastAsia="Times New Roman" w:hAnsi="Times New Roman"/>
          <w:sz w:val="18"/>
          <w:szCs w:val="18"/>
          <w:b w:val="1"/>
          <w:bCs w:val="1"/>
          <w:color w:val="auto"/>
        </w:rPr>
        <w:t>1-800-652-VOTE (8683)</w:t>
      </w:r>
      <w:r>
        <w:rPr>
          <w:rFonts w:ascii="Times New Roman" w:cs="Times New Roman" w:eastAsia="Times New Roman" w:hAnsi="Times New Roman"/>
          <w:sz w:val="18"/>
          <w:szCs w:val="18"/>
          <w:color w:val="auto"/>
        </w:rPr>
        <w:t xml:space="preserve"> or online at </w:t>
      </w:r>
      <w:r>
        <w:rPr>
          <w:rFonts w:ascii="Times New Roman" w:cs="Times New Roman" w:eastAsia="Times New Roman" w:hAnsi="Times New Roman"/>
          <w:sz w:val="18"/>
          <w:szCs w:val="18"/>
          <w:b w:val="1"/>
          <w:bCs w:val="1"/>
          <w:color w:val="auto"/>
        </w:rPr>
        <w:t>www.envisionreports.com/OBT</w:t>
      </w:r>
      <w:r>
        <w:rPr>
          <w:rFonts w:ascii="Times New Roman" w:cs="Times New Roman" w:eastAsia="Times New Roman" w:hAnsi="Times New Roman"/>
          <w:sz w:val="18"/>
          <w:szCs w:val="18"/>
          <w:color w:val="auto"/>
        </w:rPr>
        <w:t>. You can also complete and sign the enclosed proxy card and return it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transfer agent, Computershare. Our Proxy Statement, 2025 Form 10-K and the 2025 Annual Report are also available at </w:t>
      </w:r>
      <w:r>
        <w:rPr>
          <w:rFonts w:ascii="Times New Roman" w:cs="Times New Roman" w:eastAsia="Times New Roman" w:hAnsi="Times New Roman"/>
          <w:sz w:val="18"/>
          <w:szCs w:val="18"/>
          <w:b w:val="1"/>
          <w:bCs w:val="1"/>
          <w:color w:val="auto"/>
        </w:rPr>
        <w:t>www.envisionreports.com/OBT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Jonathan Rouis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Jonathan Rouis</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2230755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212 Dolson Avenue</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Middletown, New York 10940</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(845) 341-5000</w:t>
      </w:r>
    </w:p>
    <w:p>
      <w:pPr>
        <w:spacing w:after="0" w:line="20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NOTICE OF</w:t>
      </w:r>
    </w:p>
    <w:p>
      <w:pPr>
        <w:spacing w:after="0" w:line="1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jc w:val="center"/>
        <w:ind w:right="-840"/>
        <w:spacing w:after="0"/>
        <w:rPr>
          <w:sz w:val="20"/>
          <w:szCs w:val="20"/>
          <w:color w:val="auto"/>
        </w:rPr>
      </w:pPr>
      <w:r>
        <w:rPr>
          <w:rFonts w:ascii="Times New Roman" w:cs="Times New Roman" w:eastAsia="Times New Roman" w:hAnsi="Times New Roman"/>
          <w:sz w:val="18"/>
          <w:szCs w:val="18"/>
          <w:color w:val="auto"/>
        </w:rPr>
        <w:t>To Be Held On May 26, 2026</w:t>
      </w:r>
    </w:p>
    <w:p>
      <w:pPr>
        <w:spacing w:after="0" w:line="12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of Orange County Bancorp, Inc. (the “Company”) will be held at the office of the Company located at 212 Dolson Avenue, Middletown, New York on Tuesday, May 26, 2026 at 2:00 p.m., Eastern time.</w:t>
      </w:r>
    </w:p>
    <w:p>
      <w:pPr>
        <w:spacing w:after="0" w:line="10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Proxy Card and Proxy Statement for the annual meeting are enclosed. The annual meeting is for the purpose of considering and acting upon:</w:t>
      </w:r>
    </w:p>
    <w:p>
      <w:pPr>
        <w:spacing w:after="0" w:line="95" w:lineRule="exact"/>
        <w:rPr>
          <w:sz w:val="20"/>
          <w:szCs w:val="20"/>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directors;</w:t>
      </w:r>
    </w:p>
    <w:p>
      <w:pPr>
        <w:spacing w:after="0" w:line="157"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Crowe LLP as independent registered public accounting firm for the year ending December 31, 2026; and</w:t>
      </w:r>
    </w:p>
    <w:p>
      <w:pPr>
        <w:spacing w:after="0" w:line="81" w:lineRule="exact"/>
        <w:rPr>
          <w:sz w:val="20"/>
          <w:szCs w:val="20"/>
          <w:color w:val="auto"/>
        </w:rPr>
      </w:pPr>
    </w:p>
    <w:p>
      <w:pPr>
        <w:ind w:left="1260" w:right="899"/>
        <w:spacing w:after="0" w:line="282" w:lineRule="auto"/>
        <w:rPr>
          <w:sz w:val="20"/>
          <w:szCs w:val="20"/>
          <w:color w:val="auto"/>
        </w:rPr>
      </w:pPr>
      <w:r>
        <w:rPr>
          <w:rFonts w:ascii="Times New Roman" w:cs="Times New Roman" w:eastAsia="Times New Roman" w:hAnsi="Times New Roman"/>
          <w:sz w:val="18"/>
          <w:szCs w:val="18"/>
          <w:color w:val="auto"/>
        </w:rPr>
        <w:t>such other matters as may properly come before the annual meeting, or any adjournments thereof. The Board of Directors is not aware of any other business to come before the annual meeting.</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Any action may be taken on the foregoing proposals at the annual meeting on the date specified above, or on the date or dates to which the annual meeting may be adjourned. Stockholders of record at the close of business on March 30, 2026 are the stockholders entitled to vote at the annual meeting, and any adjournments thereof.</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EACH STOCKHOLDER, WHETHER HE OR SHE PLANS TO ATTEND THE ANNUAL MEETING, IS REQUESTED TO SIGN, DATE AND RETURN THE ENCLOSED PROXY CARD WITHOUT DELAY IN THE ENCLOSED POSTAGE-PAID ENVELOPE. ALTERNATIVELY, YOU WILL BE ABLE TO RECORD YOUR VOTE BY TELEPHONE OR BY INTERNET BY FOLLOWING THE INSTRUCTIONS ON YOUR PROXY CARD. ANY PROXY GIVEN BY THE STOCKHOLDER MAY BE REVOKED AT ANY TIME BEFORE IT IS VOTED. A PROXY MAY BE REVOKED BY FILING WITH THE CORPORATE SECRETARY OF ORANGE COUNTY BANCORP, INC. A WRITTEN REVOCATION OR A DULY EXECUTED PROXY CARD BEARING A LATER DATE. ANY STOCKHOLDER PRESENT AT THE ANNUAL MEETING MAY REVOKE HIS OR HER PROXY AND VOTE PERSONALLY ON EACH MATTER BROUGHT BEFORE THE ANNUAL MEETING. HOWEVER, IF YOU ARE A STOCKHOLDER WHOSE SHARES ARE NOT REGISTERED IN YOUR OWN NAME, YOU WILL NEED ADDITIONAL DOCUMENTATION FROM YOUR RECORD HOLDER IN ORDER TO VOTE IN PERSON AT THE ANNUAL MEETING. ATTENDANCE AT THE ANNUAL MEETING WILL NOT IN ITSELF CONSTITUTE REVOCATION OF YOUR PROXY.</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Jennifer Staub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Jennifer Staub</w:t>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Middletown, New York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15, 2026</w:t>
      </w:r>
    </w:p>
    <w:p>
      <w:pPr>
        <w:spacing w:after="0" w:line="108"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THE PROXY STATEMENT, INCLUDING THE NOTICE OF THE ANNUAL MEETING OF STOCKHOLDERS, FORM 10-K AND ORANGE COUNTY BANCORP, INC.’S ANNUAL REPORT FOR THE YEAR ENDED DECEMBER 31, 2025 ARE EACH AVAILABLE ON THE INTERNET AT WWW.ENVISIONREPORTS.COM/OBT.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582930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Orange County Bancorp,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212 Dolson Avenue</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Middletown, New York 10940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(845) 341-5000</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1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May 26, 2026</w:t>
      </w:r>
    </w:p>
    <w:p>
      <w:pPr>
        <w:spacing w:after="0" w:line="15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on behalf of the Board of Directors of Orange County Bancorp, Inc. (the “Company”) to be used at the Annual Meeting of Stockholders, which will be held at the office of the Company located at 212 Dolson Avenue, Middletown, New York on Tuesday, May 26, 2026 at 2:00 p.m., Eastern time, and all adjournments of the annual meeting. The accompanying Notice of Annual Meeting of Stockholders and this Proxy Statement are first being mailed to stockholders on or about April 15, 2026.</w:t>
      </w:r>
    </w:p>
    <w:p>
      <w:pPr>
        <w:spacing w:after="0" w:line="18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62"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Stockholders who execute proxies in the form solicited hereby retain the right to revoke them in the manner described below. Unless so revoked, the shares represented by such proxies will be voted at the annual meeting and all adjournments thereof. Proxies solicited on behalf of the Board of Directors of the Company will be voted in accordance with the directions given thereon. </w:t>
      </w:r>
      <w:r>
        <w:rPr>
          <w:rFonts w:ascii="Times New Roman" w:cs="Times New Roman" w:eastAsia="Times New Roman" w:hAnsi="Times New Roman"/>
          <w:sz w:val="18"/>
          <w:szCs w:val="18"/>
          <w:b w:val="1"/>
          <w:bCs w:val="1"/>
          <w:color w:val="auto"/>
        </w:rPr>
        <w:t>Please sign and return your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card in the postage paid envelope provided. Alternatively, you will be able to record your vote more quickly if you choose to vote by telephone or by Internet by following the instructions on the proxy card. Where no instructions are indicated on the proxy card, signed proxies will be voted “FOR” the election of each of the nominees for director named herein and “FOR” the ratification of the appointment of Crowe LLP as our independent registered public accounting firm for the year ending December 31, 2026.</w:t>
      </w:r>
    </w:p>
    <w:p>
      <w:pPr>
        <w:spacing w:after="0" w:line="107"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Proxies may be revoked by sending written notice of revocation to the Corporate Secretary of the Company at the address shown above, by filing a duly executed proxy bearing a later date, by following the instructions to submit your proxy via the Internet or telephone on the enclosed proxy card, or by voting in person at the annual meeting. The presence at the annual meeting of any stockholder who had given a proxy shall not revoke such proxy unless the stockholder delivers his or her ballot in person at the annual meeting or delivers a written revocation to our Corporate Secretary prior to the voting of such proxy.</w:t>
      </w:r>
    </w:p>
    <w:p>
      <w:pPr>
        <w:spacing w:after="0" w:line="120"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If you have any questions about giving your proxy or require assistance, please contact Computershare Shareholder Services at 1-800-368-5948. If you are a stockholder whose shares are not registered in your name, you will need appropriate documentation from your record holder to vote in person at the annual meeting.</w:t>
      </w:r>
    </w:p>
    <w:p>
      <w:pPr>
        <w:spacing w:after="0" w:line="39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SOLICITATION OF PROXIES; EXPENSES</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will pay the cost of this proxy solicitation. Our directors, executive officers and other employees may solicit proxies by mail, personally, by telephone, by press release, by facsimile transmission or by other electronic means. No additional compensation will be paid to our directors, executive officers or employees for such services. We will reimburse brokerage firms and other custodians, nominees, and fiduciaries for reasonable expenses incurred by them in sending proxy materials to the beneficial owners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VOTING SECURITIES AND PRINCIPAL HOLDERS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noted below, holders of record of the Company’s common stock, par value $0.25 per share, as of the close of business on March 30, 2026 are entitled to one vote for each share then held. As of March 30, 2026, there were 13,407,690 shares of common stock issued and outstanding.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Holders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Persons and groups who beneficially own in excess of 5% of the shares of common stock are required to file certain reports with the Securities and Exchange Commission regarding such ownership. The following table sets forth, as of March 30, 2026, the shares of common stock beneficially owned by our directors and executive officers, individually and as a group, and by each person who was known to us as the beneficial owner of more than 5% of the outstanding shares of common stock. The mailing address for each of our directors and executive officers is 212 Dolson Avenue, Middletown, New York 10940.</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Percent of Shares</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Owned as of the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of Common Stock</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Stock Units</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Record Date</w:t>
            </w:r>
            <w:r>
              <w:rPr>
                <w:rFonts w:ascii="Times New Roman" w:cs="Times New Roman" w:eastAsia="Times New Roman" w:hAnsi="Times New Roman"/>
                <w:sz w:val="17"/>
                <w:szCs w:val="17"/>
                <w:b w:val="1"/>
                <w:bCs w:val="1"/>
                <w:color w:val="auto"/>
                <w:w w:val="95"/>
                <w:vertAlign w:val="superscript"/>
              </w:rPr>
              <w:t>(1)</w:t>
            </w:r>
          </w:p>
        </w:tc>
        <w:tc>
          <w:tcPr>
            <w:tcW w:w="14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Outstanding</w:t>
            </w:r>
            <w:r>
              <w:rPr>
                <w:rFonts w:ascii="Times New Roman" w:cs="Times New Roman" w:eastAsia="Times New Roman" w:hAnsi="Times New Roman"/>
                <w:sz w:val="17"/>
                <w:szCs w:val="17"/>
                <w:b w:val="1"/>
                <w:bCs w:val="1"/>
                <w:color w:val="auto"/>
                <w:w w:val="95"/>
                <w:vertAlign w:val="superscript"/>
              </w:rPr>
              <w:t>(2)</w:t>
            </w:r>
          </w:p>
        </w:tc>
        <w:tc>
          <w:tcPr>
            <w:tcW w:w="14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(RSUs)</w:t>
            </w:r>
            <w:r>
              <w:rPr>
                <w:rFonts w:ascii="Times New Roman" w:cs="Times New Roman" w:eastAsia="Times New Roman" w:hAnsi="Times New Roman"/>
                <w:sz w:val="17"/>
                <w:szCs w:val="17"/>
                <w:b w:val="1"/>
                <w:bCs w:val="1"/>
                <w:color w:val="auto"/>
                <w:w w:val="96"/>
                <w:vertAlign w:val="superscript"/>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Persons Owning Greater than 5%</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1,231,834</w:t>
            </w:r>
            <w:r>
              <w:rPr>
                <w:rFonts w:ascii="Times New Roman" w:cs="Times New Roman" w:eastAsia="Times New Roman" w:hAnsi="Times New Roman"/>
                <w:sz w:val="23"/>
                <w:szCs w:val="23"/>
                <w:color w:val="auto"/>
                <w:vertAlign w:val="superscript"/>
              </w:rPr>
              <w:t>(4)</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BlackRock Portfolio Management LLC</w:t>
            </w:r>
          </w:p>
        </w:tc>
        <w:tc>
          <w:tcPr>
            <w:tcW w:w="1120" w:type="dxa"/>
            <w:vAlign w:val="bottom"/>
            <w:gridSpan w:val="2"/>
            <w:vMerge w:val="continue"/>
          </w:tcPr>
          <w:p>
            <w:pPr>
              <w:spacing w:after="0"/>
              <w:rPr>
                <w:sz w:val="17"/>
                <w:szCs w:val="17"/>
                <w:color w:val="auto"/>
              </w:rPr>
            </w:pPr>
          </w:p>
        </w:tc>
        <w:tc>
          <w:tcPr>
            <w:tcW w:w="1080" w:type="dxa"/>
            <w:vAlign w:val="bottom"/>
          </w:tcPr>
          <w:p>
            <w:pPr>
              <w:jc w:val="right"/>
              <w:ind w:right="192"/>
              <w:spacing w:after="0" w:line="202" w:lineRule="exact"/>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50 Hudson Yards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York, New York 10001</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739,402</w:t>
            </w:r>
            <w:r>
              <w:rPr>
                <w:rFonts w:ascii="Times New Roman" w:cs="Times New Roman" w:eastAsia="Times New Roman" w:hAnsi="Times New Roman"/>
                <w:sz w:val="23"/>
                <w:szCs w:val="23"/>
                <w:color w:val="auto"/>
                <w:vertAlign w:val="superscript"/>
              </w:rPr>
              <w:t>(5)</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BlackRock, Inc.</w:t>
            </w:r>
          </w:p>
        </w:tc>
        <w:tc>
          <w:tcPr>
            <w:tcW w:w="1120" w:type="dxa"/>
            <w:vAlign w:val="bottom"/>
            <w:gridSpan w:val="2"/>
            <w:vMerge w:val="continue"/>
          </w:tcPr>
          <w:p>
            <w:pPr>
              <w:spacing w:after="0"/>
              <w:rPr>
                <w:sz w:val="17"/>
                <w:szCs w:val="17"/>
                <w:color w:val="auto"/>
              </w:rPr>
            </w:pPr>
          </w:p>
        </w:tc>
        <w:tc>
          <w:tcPr>
            <w:tcW w:w="1080" w:type="dxa"/>
            <w:vAlign w:val="bottom"/>
          </w:tcPr>
          <w:p>
            <w:pPr>
              <w:jc w:val="right"/>
              <w:ind w:right="192"/>
              <w:spacing w:after="0" w:line="198" w:lineRule="exact"/>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50 Hudson Yards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York, New York 10001</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86,380</w:t>
            </w:r>
            <w:r>
              <w:rPr>
                <w:rFonts w:ascii="Times New Roman" w:cs="Times New Roman" w:eastAsia="Times New Roman" w:hAnsi="Times New Roman"/>
                <w:sz w:val="23"/>
                <w:szCs w:val="23"/>
                <w:color w:val="auto"/>
                <w:vertAlign w:val="superscript"/>
              </w:rPr>
              <w:t>(6)</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85,929</w:t>
            </w:r>
            <w:r>
              <w:rPr>
                <w:rFonts w:ascii="Times New Roman" w:cs="Times New Roman" w:eastAsia="Times New Roman" w:hAnsi="Times New Roman"/>
                <w:sz w:val="23"/>
                <w:szCs w:val="23"/>
                <w:color w:val="auto"/>
                <w:vertAlign w:val="superscript"/>
              </w:rPr>
              <w:t>(7)</w:t>
            </w:r>
          </w:p>
        </w:tc>
        <w:tc>
          <w:tcPr>
            <w:tcW w:w="0" w:type="dxa"/>
            <w:vAlign w:val="bottom"/>
          </w:tcPr>
          <w:p>
            <w:pPr>
              <w:spacing w:after="0"/>
              <w:rPr>
                <w:sz w:val="1"/>
                <w:szCs w:val="1"/>
                <w:color w:val="auto"/>
              </w:rPr>
            </w:pPr>
          </w:p>
        </w:tc>
      </w:tr>
      <w:tr>
        <w:trPr>
          <w:trHeight w:val="181"/>
        </w:trPr>
        <w:tc>
          <w:tcPr>
            <w:tcW w:w="49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Michael J. Gilfeather</w:t>
            </w:r>
          </w:p>
        </w:tc>
        <w:tc>
          <w:tcPr>
            <w:tcW w:w="1120" w:type="dxa"/>
            <w:vAlign w:val="bottom"/>
            <w:gridSpan w:val="2"/>
            <w:vMerge w:val="continue"/>
          </w:tcPr>
          <w:p>
            <w:pPr>
              <w:spacing w:after="0"/>
              <w:rPr>
                <w:sz w:val="15"/>
                <w:szCs w:val="15"/>
                <w:color w:val="auto"/>
              </w:rPr>
            </w:pPr>
          </w:p>
        </w:tc>
        <w:tc>
          <w:tcPr>
            <w:tcW w:w="1080" w:type="dxa"/>
            <w:vAlign w:val="bottom"/>
          </w:tcPr>
          <w:p>
            <w:pPr>
              <w:jc w:val="right"/>
              <w:ind w:right="332"/>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F. Holcombe</w:t>
            </w:r>
          </w:p>
        </w:tc>
        <w:tc>
          <w:tcPr>
            <w:tcW w:w="1120" w:type="dxa"/>
            <w:vAlign w:val="bottom"/>
            <w:gridSpan w:val="2"/>
          </w:tcPr>
          <w:p>
            <w:pPr>
              <w:jc w:val="right"/>
              <w:ind w:right="140"/>
              <w:spacing w:after="0" w:line="230" w:lineRule="exact"/>
              <w:rPr>
                <w:sz w:val="20"/>
                <w:szCs w:val="20"/>
                <w:color w:val="auto"/>
              </w:rPr>
            </w:pPr>
            <w:r>
              <w:rPr>
                <w:rFonts w:ascii="Times New Roman" w:cs="Times New Roman" w:eastAsia="Times New Roman" w:hAnsi="Times New Roman"/>
                <w:sz w:val="18"/>
                <w:szCs w:val="18"/>
                <w:color w:val="auto"/>
              </w:rPr>
              <w:t>188,518</w:t>
            </w:r>
            <w:r>
              <w:rPr>
                <w:rFonts w:ascii="Times New Roman" w:cs="Times New Roman" w:eastAsia="Times New Roman" w:hAnsi="Times New Roman"/>
                <w:sz w:val="23"/>
                <w:szCs w:val="23"/>
                <w:color w:val="auto"/>
                <w:vertAlign w:val="superscript"/>
              </w:rPr>
              <w:t>(8)</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J. Keane</w:t>
            </w:r>
          </w:p>
        </w:tc>
        <w:tc>
          <w:tcPr>
            <w:tcW w:w="1120" w:type="dxa"/>
            <w:vAlign w:val="bottom"/>
            <w:gridSpan w:val="2"/>
          </w:tcPr>
          <w:p>
            <w:pPr>
              <w:jc w:val="right"/>
              <w:ind w:right="140"/>
              <w:spacing w:after="0" w:line="230" w:lineRule="exact"/>
              <w:rPr>
                <w:sz w:val="20"/>
                <w:szCs w:val="20"/>
                <w:color w:val="auto"/>
              </w:rPr>
            </w:pPr>
            <w:r>
              <w:rPr>
                <w:rFonts w:ascii="Times New Roman" w:cs="Times New Roman" w:eastAsia="Times New Roman" w:hAnsi="Times New Roman"/>
                <w:sz w:val="18"/>
                <w:szCs w:val="18"/>
                <w:color w:val="auto"/>
              </w:rPr>
              <w:t>44,112</w:t>
            </w:r>
            <w:r>
              <w:rPr>
                <w:rFonts w:ascii="Times New Roman" w:cs="Times New Roman" w:eastAsia="Times New Roman" w:hAnsi="Times New Roman"/>
                <w:sz w:val="23"/>
                <w:szCs w:val="23"/>
                <w:color w:val="auto"/>
                <w:vertAlign w:val="superscript"/>
              </w:rPr>
              <w:t>(9)</w:t>
            </w: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Marianna R. Kennedy</w:t>
            </w:r>
          </w:p>
        </w:tc>
        <w:tc>
          <w:tcPr>
            <w:tcW w:w="1120" w:type="dxa"/>
            <w:vAlign w:val="bottom"/>
            <w:gridSpan w:val="2"/>
          </w:tcPr>
          <w:p>
            <w:pPr>
              <w:jc w:val="right"/>
              <w:ind w:right="80"/>
              <w:spacing w:after="0" w:line="230" w:lineRule="exact"/>
              <w:rPr>
                <w:sz w:val="20"/>
                <w:szCs w:val="20"/>
                <w:color w:val="auto"/>
              </w:rPr>
            </w:pPr>
            <w:r>
              <w:rPr>
                <w:rFonts w:ascii="Times New Roman" w:cs="Times New Roman" w:eastAsia="Times New Roman" w:hAnsi="Times New Roman"/>
                <w:sz w:val="18"/>
                <w:szCs w:val="18"/>
                <w:color w:val="auto"/>
              </w:rPr>
              <w:t>10,514</w:t>
            </w:r>
            <w:r>
              <w:rPr>
                <w:rFonts w:ascii="Times New Roman" w:cs="Times New Roman" w:eastAsia="Times New Roman" w:hAnsi="Times New Roman"/>
                <w:sz w:val="23"/>
                <w:szCs w:val="23"/>
                <w:color w:val="auto"/>
                <w:vertAlign w:val="superscript"/>
              </w:rPr>
              <w:t>(10)</w:t>
            </w: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D. Morrison</w:t>
            </w:r>
          </w:p>
        </w:tc>
        <w:tc>
          <w:tcPr>
            <w:tcW w:w="1120" w:type="dxa"/>
            <w:vAlign w:val="bottom"/>
            <w:gridSpan w:val="2"/>
          </w:tcPr>
          <w:p>
            <w:pPr>
              <w:jc w:val="right"/>
              <w:ind w:right="80"/>
              <w:spacing w:after="0" w:line="230" w:lineRule="exact"/>
              <w:rPr>
                <w:sz w:val="20"/>
                <w:szCs w:val="20"/>
                <w:color w:val="auto"/>
              </w:rPr>
            </w:pPr>
            <w:r>
              <w:rPr>
                <w:rFonts w:ascii="Times New Roman" w:cs="Times New Roman" w:eastAsia="Times New Roman" w:hAnsi="Times New Roman"/>
                <w:sz w:val="18"/>
                <w:szCs w:val="18"/>
                <w:color w:val="auto"/>
              </w:rPr>
              <w:t>115,066</w:t>
            </w:r>
            <w:r>
              <w:rPr>
                <w:rFonts w:ascii="Times New Roman" w:cs="Times New Roman" w:eastAsia="Times New Roman" w:hAnsi="Times New Roman"/>
                <w:sz w:val="23"/>
                <w:szCs w:val="23"/>
                <w:color w:val="auto"/>
                <w:vertAlign w:val="superscript"/>
              </w:rPr>
              <w:t>(11)</w:t>
            </w: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F. Rouis</w:t>
            </w:r>
          </w:p>
        </w:tc>
        <w:tc>
          <w:tcPr>
            <w:tcW w:w="1120" w:type="dxa"/>
            <w:vAlign w:val="bottom"/>
            <w:gridSpan w:val="2"/>
          </w:tcPr>
          <w:p>
            <w:pPr>
              <w:jc w:val="right"/>
              <w:ind w:right="80"/>
              <w:spacing w:after="0" w:line="230" w:lineRule="exact"/>
              <w:rPr>
                <w:sz w:val="20"/>
                <w:szCs w:val="20"/>
                <w:color w:val="auto"/>
              </w:rPr>
            </w:pPr>
            <w:r>
              <w:rPr>
                <w:rFonts w:ascii="Times New Roman" w:cs="Times New Roman" w:eastAsia="Times New Roman" w:hAnsi="Times New Roman"/>
                <w:sz w:val="18"/>
                <w:szCs w:val="18"/>
                <w:color w:val="auto"/>
              </w:rPr>
              <w:t>15,783</w:t>
            </w:r>
            <w:r>
              <w:rPr>
                <w:rFonts w:ascii="Times New Roman" w:cs="Times New Roman" w:eastAsia="Times New Roman" w:hAnsi="Times New Roman"/>
                <w:sz w:val="23"/>
                <w:szCs w:val="23"/>
                <w:color w:val="auto"/>
                <w:vertAlign w:val="superscript"/>
              </w:rPr>
              <w:t>(12)</w:t>
            </w: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 Rowley</w:t>
            </w:r>
          </w:p>
        </w:tc>
        <w:tc>
          <w:tcPr>
            <w:tcW w:w="1120" w:type="dxa"/>
            <w:vAlign w:val="bottom"/>
            <w:gridSpan w:val="2"/>
          </w:tcPr>
          <w:p>
            <w:pPr>
              <w:jc w:val="right"/>
              <w:ind w:right="80"/>
              <w:spacing w:after="0" w:line="230" w:lineRule="exact"/>
              <w:rPr>
                <w:sz w:val="20"/>
                <w:szCs w:val="20"/>
                <w:color w:val="auto"/>
              </w:rPr>
            </w:pPr>
            <w:r>
              <w:rPr>
                <w:rFonts w:ascii="Times New Roman" w:cs="Times New Roman" w:eastAsia="Times New Roman" w:hAnsi="Times New Roman"/>
                <w:sz w:val="18"/>
                <w:szCs w:val="18"/>
                <w:color w:val="auto"/>
              </w:rPr>
              <w:t>561,137</w:t>
            </w:r>
            <w:r>
              <w:rPr>
                <w:rFonts w:ascii="Times New Roman" w:cs="Times New Roman" w:eastAsia="Times New Roman" w:hAnsi="Times New Roman"/>
                <w:sz w:val="23"/>
                <w:szCs w:val="23"/>
                <w:color w:val="auto"/>
                <w:vertAlign w:val="superscript"/>
              </w:rPr>
              <w:t>(13)</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Schiller</w:t>
            </w:r>
          </w:p>
        </w:tc>
        <w:tc>
          <w:tcPr>
            <w:tcW w:w="1120" w:type="dxa"/>
            <w:vAlign w:val="bottom"/>
            <w:gridSpan w:val="2"/>
          </w:tcPr>
          <w:p>
            <w:pPr>
              <w:jc w:val="right"/>
              <w:ind w:right="80"/>
              <w:spacing w:after="0" w:line="230" w:lineRule="exact"/>
              <w:rPr>
                <w:sz w:val="20"/>
                <w:szCs w:val="20"/>
                <w:color w:val="auto"/>
              </w:rPr>
            </w:pPr>
            <w:r>
              <w:rPr>
                <w:rFonts w:ascii="Times New Roman" w:cs="Times New Roman" w:eastAsia="Times New Roman" w:hAnsi="Times New Roman"/>
                <w:sz w:val="18"/>
                <w:szCs w:val="18"/>
                <w:color w:val="auto"/>
              </w:rPr>
              <w:t>16,418</w:t>
            </w:r>
            <w:r>
              <w:rPr>
                <w:rFonts w:ascii="Times New Roman" w:cs="Times New Roman" w:eastAsia="Times New Roman" w:hAnsi="Times New Roman"/>
                <w:sz w:val="23"/>
                <w:szCs w:val="23"/>
                <w:color w:val="auto"/>
                <w:vertAlign w:val="superscript"/>
              </w:rPr>
              <w:t>(14)</w:t>
            </w: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Olga Luz Tirado</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2,474</w:t>
            </w:r>
            <w:r>
              <w:rPr>
                <w:rFonts w:ascii="Times New Roman" w:cs="Times New Roman" w:eastAsia="Times New Roman" w:hAnsi="Times New Roman"/>
                <w:sz w:val="23"/>
                <w:szCs w:val="23"/>
                <w:color w:val="auto"/>
                <w:vertAlign w:val="superscript"/>
              </w:rPr>
              <w:t>(15)</w:t>
            </w: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9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Joseph A. Ruhl</w:t>
            </w:r>
          </w:p>
        </w:tc>
        <w:tc>
          <w:tcPr>
            <w:tcW w:w="980" w:type="dxa"/>
            <w:vAlign w:val="bottom"/>
          </w:tcPr>
          <w:p>
            <w:pPr>
              <w:jc w:val="right"/>
              <w:ind w:right="54"/>
              <w:spacing w:after="0" w:line="181" w:lineRule="exact"/>
              <w:rPr>
                <w:sz w:val="20"/>
                <w:szCs w:val="20"/>
                <w:color w:val="auto"/>
              </w:rPr>
            </w:pPr>
            <w:r>
              <w:rPr>
                <w:rFonts w:ascii="Times New Roman" w:cs="Times New Roman" w:eastAsia="Times New Roman" w:hAnsi="Times New Roman"/>
                <w:sz w:val="18"/>
                <w:szCs w:val="18"/>
                <w:color w:val="auto"/>
              </w:rPr>
              <w:t>23,851</w:t>
            </w:r>
          </w:p>
        </w:tc>
        <w:tc>
          <w:tcPr>
            <w:tcW w:w="140" w:type="dxa"/>
            <w:vAlign w:val="bottom"/>
          </w:tcPr>
          <w:p>
            <w:pPr>
              <w:spacing w:after="0"/>
              <w:rPr>
                <w:sz w:val="15"/>
                <w:szCs w:val="15"/>
                <w:color w:val="auto"/>
              </w:rPr>
            </w:pPr>
          </w:p>
        </w:tc>
        <w:tc>
          <w:tcPr>
            <w:tcW w:w="1080" w:type="dxa"/>
            <w:vAlign w:val="bottom"/>
          </w:tcPr>
          <w:p>
            <w:pPr>
              <w:jc w:val="right"/>
              <w:ind w:right="332"/>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10,931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Lesler</w:t>
            </w:r>
          </w:p>
        </w:tc>
        <w:tc>
          <w:tcPr>
            <w:tcW w:w="1120" w:type="dxa"/>
            <w:vAlign w:val="bottom"/>
            <w:gridSpan w:val="2"/>
          </w:tcPr>
          <w:p>
            <w:pPr>
              <w:jc w:val="right"/>
              <w:ind w:right="80"/>
              <w:spacing w:after="0" w:line="230" w:lineRule="exact"/>
              <w:rPr>
                <w:sz w:val="20"/>
                <w:szCs w:val="20"/>
                <w:color w:val="auto"/>
              </w:rPr>
            </w:pPr>
            <w:r>
              <w:rPr>
                <w:rFonts w:ascii="Times New Roman" w:cs="Times New Roman" w:eastAsia="Times New Roman" w:hAnsi="Times New Roman"/>
                <w:sz w:val="18"/>
                <w:szCs w:val="18"/>
                <w:color w:val="auto"/>
              </w:rPr>
              <w:t>9,559</w:t>
            </w:r>
            <w:r>
              <w:rPr>
                <w:rFonts w:ascii="Times New Roman" w:cs="Times New Roman" w:eastAsia="Times New Roman" w:hAnsi="Times New Roman"/>
                <w:sz w:val="23"/>
                <w:szCs w:val="23"/>
                <w:color w:val="auto"/>
                <w:vertAlign w:val="superscript"/>
              </w:rPr>
              <w:t>(16)</w:t>
            </w: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80"/>
              <w:spacing w:after="0" w:line="230" w:lineRule="exact"/>
              <w:rPr>
                <w:sz w:val="20"/>
                <w:szCs w:val="20"/>
                <w:color w:val="auto"/>
              </w:rPr>
            </w:pPr>
            <w:r>
              <w:rPr>
                <w:rFonts w:ascii="Times New Roman" w:cs="Times New Roman" w:eastAsia="Times New Roman" w:hAnsi="Times New Roman"/>
                <w:sz w:val="18"/>
                <w:szCs w:val="18"/>
                <w:color w:val="auto"/>
              </w:rPr>
              <w:t>12,799</w:t>
            </w:r>
            <w:r>
              <w:rPr>
                <w:rFonts w:ascii="Times New Roman" w:cs="Times New Roman" w:eastAsia="Times New Roman" w:hAnsi="Times New Roman"/>
                <w:sz w:val="23"/>
                <w:szCs w:val="23"/>
                <w:color w:val="auto"/>
                <w:vertAlign w:val="superscript"/>
              </w:rPr>
              <w:t>(17)</w:t>
            </w:r>
          </w:p>
        </w:tc>
        <w:tc>
          <w:tcPr>
            <w:tcW w:w="0" w:type="dxa"/>
            <w:vAlign w:val="bottom"/>
          </w:tcPr>
          <w:p>
            <w:pPr>
              <w:spacing w:after="0"/>
              <w:rPr>
                <w:sz w:val="1"/>
                <w:szCs w:val="1"/>
                <w:color w:val="auto"/>
              </w:rPr>
            </w:pPr>
          </w:p>
        </w:tc>
      </w:tr>
      <w:tr>
        <w:trPr>
          <w:trHeight w:val="292"/>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Sousa</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10,112</w:t>
            </w:r>
            <w:r>
              <w:rPr>
                <w:rFonts w:ascii="Times New Roman" w:cs="Times New Roman" w:eastAsia="Times New Roman" w:hAnsi="Times New Roman"/>
                <w:sz w:val="23"/>
                <w:szCs w:val="23"/>
                <w:color w:val="auto"/>
                <w:vertAlign w:val="superscript"/>
              </w:rPr>
              <w:t>(18)</w:t>
            </w: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15,515</w:t>
            </w:r>
            <w:r>
              <w:rPr>
                <w:rFonts w:ascii="Times New Roman" w:cs="Times New Roman" w:eastAsia="Times New Roman" w:hAnsi="Times New Roman"/>
                <w:sz w:val="23"/>
                <w:szCs w:val="23"/>
                <w:color w:val="auto"/>
                <w:vertAlign w:val="superscript"/>
              </w:rPr>
              <w:t>(19)</w:t>
            </w:r>
          </w:p>
        </w:tc>
        <w:tc>
          <w:tcPr>
            <w:tcW w:w="0" w:type="dxa"/>
            <w:vAlign w:val="bottom"/>
          </w:tcPr>
          <w:p>
            <w:pPr>
              <w:spacing w:after="0"/>
              <w:rPr>
                <w:sz w:val="1"/>
                <w:szCs w:val="1"/>
                <w:color w:val="auto"/>
              </w:rPr>
            </w:pPr>
          </w:p>
        </w:tc>
      </w:tr>
      <w:tr>
        <w:trPr>
          <w:trHeight w:val="167"/>
        </w:trPr>
        <w:tc>
          <w:tcPr>
            <w:tcW w:w="4920" w:type="dxa"/>
            <w:vAlign w:val="bottom"/>
            <w:gridSpan w:val="2"/>
          </w:tcPr>
          <w:p>
            <w:pPr>
              <w:spacing w:after="0" w:line="168" w:lineRule="exact"/>
              <w:rPr>
                <w:sz w:val="20"/>
                <w:szCs w:val="20"/>
                <w:color w:val="auto"/>
              </w:rPr>
            </w:pPr>
            <w:r>
              <w:rPr>
                <w:rFonts w:ascii="Times New Roman" w:cs="Times New Roman" w:eastAsia="Times New Roman" w:hAnsi="Times New Roman"/>
                <w:sz w:val="18"/>
                <w:szCs w:val="18"/>
                <w:color w:val="auto"/>
              </w:rPr>
              <w:t>Orville Aarons</w:t>
            </w:r>
          </w:p>
        </w:tc>
        <w:tc>
          <w:tcPr>
            <w:tcW w:w="1120" w:type="dxa"/>
            <w:vAlign w:val="bottom"/>
            <w:gridSpan w:val="2"/>
          </w:tcPr>
          <w:p>
            <w:pPr>
              <w:jc w:val="right"/>
              <w:ind w:right="280"/>
              <w:spacing w:after="0" w:line="16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0"/>
              <w:spacing w:after="0" w:line="16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line="16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2"/>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Dineen</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6,678</w:t>
            </w:r>
            <w:r>
              <w:rPr>
                <w:rFonts w:ascii="Times New Roman" w:cs="Times New Roman" w:eastAsia="Times New Roman" w:hAnsi="Times New Roman"/>
                <w:sz w:val="23"/>
                <w:szCs w:val="23"/>
                <w:color w:val="auto"/>
                <w:vertAlign w:val="superscript"/>
              </w:rPr>
              <w:t>(20)</w:t>
            </w: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Jones</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4,571</w:t>
            </w:r>
          </w:p>
        </w:tc>
        <w:tc>
          <w:tcPr>
            <w:tcW w:w="140" w:type="dxa"/>
            <w:vAlign w:val="bottom"/>
          </w:tcPr>
          <w:p>
            <w:pPr>
              <w:spacing w:after="0"/>
              <w:rPr>
                <w:sz w:val="19"/>
                <w:szCs w:val="19"/>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Listner</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3,741</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Rooney</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3,915</w:t>
            </w:r>
          </w:p>
        </w:tc>
        <w:tc>
          <w:tcPr>
            <w:tcW w:w="140" w:type="dxa"/>
            <w:vAlign w:val="bottom"/>
          </w:tcPr>
          <w:p>
            <w:pPr>
              <w:spacing w:after="0"/>
              <w:rPr>
                <w:sz w:val="19"/>
                <w:szCs w:val="19"/>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(17 persons)</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1,102,829</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158,798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tcBorders>
              <w:bottom w:val="single" w:sz="8" w:color="auto"/>
            </w:tcBorders>
          </w:tcPr>
          <w:p>
            <w:pPr>
              <w:spacing w:after="0"/>
              <w:rPr>
                <w:sz w:val="19"/>
                <w:szCs w:val="19"/>
                <w:color w:val="auto"/>
              </w:rPr>
            </w:pPr>
          </w:p>
        </w:tc>
        <w:tc>
          <w:tcPr>
            <w:tcW w:w="2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-3616960</wp:posOffset>
            </wp:positionV>
            <wp:extent cx="521208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41148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-2990850</wp:posOffset>
            </wp:positionV>
            <wp:extent cx="521208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-2699385</wp:posOffset>
            </wp:positionV>
            <wp:extent cx="52120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-2407920</wp:posOffset>
            </wp:positionV>
            <wp:extent cx="521208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-2116455</wp:posOffset>
            </wp:positionV>
            <wp:extent cx="521208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-1824990</wp:posOffset>
            </wp:positionV>
            <wp:extent cx="52120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-1464945</wp:posOffset>
            </wp:positionV>
            <wp:extent cx="521208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-1174115</wp:posOffset>
            </wp:positionV>
            <wp:extent cx="52120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-882015</wp:posOffset>
            </wp:positionV>
            <wp:extent cx="52120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-4182745</wp:posOffset>
            </wp:positionV>
            <wp:extent cx="52120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hanging="360"/>
        <w:spacing w:after="0" w:line="254"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13d-3 under the Securities Exchange Act of 1934, as amended, a person is deemed to be the beneficial owner, for purposes of this table, of any shares of Orange County Bancorp, Inc. common stock if he has or shares voting or investment power with respect to such common stock or has a right to acquire beneficial ownership at any time within 60 days from March 30, 2026. As used herein, “voting power” is the power to vote or direct the voting of shares and “investment power” is the power to dispose or direct the disposition of shares. Except as otherwise noted, ownership is direct and the named individuals and group exercise sole voting and investment power over the shares of Orange County Bancorp, Inc. common stock.</w:t>
      </w:r>
    </w:p>
    <w:p>
      <w:pPr>
        <w:spacing w:after="0" w:line="5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13,407,690 shares of common stock outstanding as of March 30, 2026.</w:t>
      </w:r>
    </w:p>
    <w:p>
      <w:pPr>
        <w:spacing w:after="0" w:line="76" w:lineRule="exact"/>
        <w:rPr>
          <w:rFonts w:ascii="Times New Roman" w:cs="Times New Roman" w:eastAsia="Times New Roman" w:hAnsi="Times New Roman"/>
          <w:sz w:val="18"/>
          <w:szCs w:val="18"/>
          <w:color w:val="auto"/>
        </w:rPr>
      </w:pPr>
    </w:p>
    <w:p>
      <w:pPr>
        <w:ind w:left="1620" w:right="419" w:hanging="360"/>
        <w:spacing w:after="0" w:line="259"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settle in shares of the Company’s common stock. All non-employee Director awards vest 100% on the first anniversary of the date of grant. Generally, all Executive Officer awards vest in approximately 33% increments on the first, second, and third anniversary of the date of grant. Until vesting, these Directors and Executive Officers neither have the right to vote, nor the right to dispose of these RSUs.</w:t>
      </w:r>
    </w:p>
    <w:p>
      <w:pPr>
        <w:spacing w:after="0" w:line="254"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Securities and Exchange Commission on October 17, 2025, reporting sole voting power over 1,087,997 shares and sole investment power over 1,231,834 shares by BlackRock Portfolio Management LLC as of September 30, 2025.</w:t>
      </w:r>
    </w:p>
    <w:p>
      <w:pPr>
        <w:spacing w:after="0" w:line="40" w:lineRule="exact"/>
        <w:rPr>
          <w:rFonts w:ascii="Times New Roman" w:cs="Times New Roman" w:eastAsia="Times New Roman" w:hAnsi="Times New Roman"/>
          <w:sz w:val="18"/>
          <w:szCs w:val="18"/>
          <w:color w:val="auto"/>
        </w:rPr>
      </w:pPr>
    </w:p>
    <w:p>
      <w:pPr>
        <w:jc w:val="both"/>
        <w:ind w:left="1620" w:right="739" w:hanging="360"/>
        <w:spacing w:after="0" w:line="266"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Securities and Exchange Commission on October 17, 2025, reporting sole voting power over 723,364 shares and sole investment power over 739,402 shares by BlackRock, Inc. as of September 30, 2025.</w:t>
      </w:r>
    </w:p>
    <w:p>
      <w:pPr>
        <w:spacing w:after="0" w:line="2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16,400 shares in an IRA.</w:t>
      </w:r>
    </w:p>
    <w:p>
      <w:pPr>
        <w:spacing w:after="0" w:line="76" w:lineRule="exact"/>
        <w:rPr>
          <w:rFonts w:ascii="Times New Roman" w:cs="Times New Roman" w:eastAsia="Times New Roman" w:hAnsi="Times New Roman"/>
          <w:sz w:val="18"/>
          <w:szCs w:val="18"/>
          <w:color w:val="auto"/>
        </w:rPr>
      </w:pPr>
    </w:p>
    <w:p>
      <w:pPr>
        <w:ind w:left="1620" w:right="619" w:hanging="360"/>
        <w:spacing w:after="0" w:line="261"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26,460 restricted stock units which become payable to Mr. Gilfeather upon his separation of service as an executive, 14,652 restricted stock units which become payable to Mr. Gilfeather on December 31, 2026, and 9,438 restricted stock units which become payable to Mr. Gilfeather on March 19, 2029.</w:t>
      </w:r>
    </w:p>
    <w:p>
      <w:pPr>
        <w:spacing w:after="0" w:line="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14,920 shares are held by a foundation, 12,054 shares are held by a Trust (Trust 1),</w:t>
      </w:r>
    </w:p>
    <w:p>
      <w:pPr>
        <w:spacing w:after="0" w:line="27" w:lineRule="exact"/>
        <w:rPr>
          <w:rFonts w:ascii="Times New Roman" w:cs="Times New Roman" w:eastAsia="Times New Roman" w:hAnsi="Times New Roman"/>
          <w:sz w:val="18"/>
          <w:szCs w:val="18"/>
          <w:color w:val="auto"/>
        </w:rPr>
      </w:pPr>
    </w:p>
    <w:p>
      <w:pPr>
        <w:jc w:val="both"/>
        <w:ind w:left="1620" w:right="8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34,720 shares are held by a Trust (Trust 2), 34,720 shares are held by a Trust (Trust 3) and 24,146 restricted stock units which are settled in shares of Company common stock upon separation from service. Mr. Holcombe has shared voting and investment power over 63,358 shares.</w:t>
      </w:r>
    </w:p>
    <w:p>
      <w:pPr>
        <w:spacing w:after="0" w:line="37"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7,400 shares are held by a Partnership and 17,480 restricted stock units which are settled in shares of Company common stock upon separation from service.</w:t>
      </w:r>
    </w:p>
    <w:p>
      <w:pPr>
        <w:spacing w:after="0" w:line="13" w:lineRule="exact"/>
        <w:rPr>
          <w:rFonts w:ascii="Times New Roman" w:cs="Times New Roman" w:eastAsia="Times New Roman" w:hAnsi="Times New Roman"/>
          <w:sz w:val="18"/>
          <w:szCs w:val="18"/>
          <w:color w:val="auto"/>
        </w:rPr>
      </w:pPr>
    </w:p>
    <w:p>
      <w:pPr>
        <w:ind w:left="1620" w:right="939" w:hanging="360"/>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9,914 restricted stock units which are settled in shares of Company common stock upon separation from service.</w:t>
      </w:r>
    </w:p>
    <w:p>
      <w:pPr>
        <w:spacing w:after="0" w:line="26" w:lineRule="exact"/>
        <w:rPr>
          <w:rFonts w:ascii="Times New Roman" w:cs="Times New Roman" w:eastAsia="Times New Roman" w:hAnsi="Times New Roman"/>
          <w:sz w:val="18"/>
          <w:szCs w:val="18"/>
          <w:color w:val="auto"/>
        </w:rPr>
      </w:pPr>
    </w:p>
    <w:p>
      <w:pPr>
        <w:ind w:left="1620" w:right="499" w:hanging="360"/>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10,932 shares in an IRA, 324 shares in a Roth IRA, and 2,166 restricted stock units which are settled in shares of Company common stock upon separation from service.</w:t>
      </w:r>
    </w:p>
    <w:p>
      <w:pPr>
        <w:spacing w:after="0" w:line="13" w:lineRule="exact"/>
        <w:rPr>
          <w:rFonts w:ascii="Times New Roman" w:cs="Times New Roman" w:eastAsia="Times New Roman" w:hAnsi="Times New Roman"/>
          <w:sz w:val="18"/>
          <w:szCs w:val="18"/>
          <w:color w:val="auto"/>
        </w:rPr>
      </w:pPr>
    </w:p>
    <w:p>
      <w:pPr>
        <w:ind w:left="1620" w:right="939" w:hanging="360"/>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7,083 restricted stock units which are settled in shares of Company common stock upon separation from service.</w:t>
      </w:r>
    </w:p>
    <w:p>
      <w:pPr>
        <w:spacing w:after="0" w:line="13" w:lineRule="exact"/>
        <w:rPr>
          <w:rFonts w:ascii="Times New Roman" w:cs="Times New Roman" w:eastAsia="Times New Roman" w:hAnsi="Times New Roman"/>
          <w:sz w:val="18"/>
          <w:szCs w:val="18"/>
          <w:color w:val="auto"/>
        </w:rPr>
      </w:pPr>
    </w:p>
    <w:p>
      <w:pPr>
        <w:ind w:left="1620" w:right="859" w:hanging="360"/>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24,869 restricted stock units which are settled in shares of Company common stock upon separation from service.</w:t>
      </w:r>
    </w:p>
    <w:p>
      <w:pPr>
        <w:spacing w:after="0" w:line="26" w:lineRule="exact"/>
        <w:rPr>
          <w:rFonts w:ascii="Times New Roman" w:cs="Times New Roman" w:eastAsia="Times New Roman" w:hAnsi="Times New Roman"/>
          <w:sz w:val="18"/>
          <w:szCs w:val="18"/>
          <w:color w:val="auto"/>
        </w:rPr>
      </w:pPr>
    </w:p>
    <w:p>
      <w:pPr>
        <w:jc w:val="both"/>
        <w:ind w:left="1620" w:right="899" w:hanging="360"/>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4,811 restricted stock units which are settled in shares of Company common stock upon separation from service. Mr. Schiller has shared voting and investment power over 11,607 shares.</w:t>
      </w:r>
    </w:p>
    <w:p>
      <w:pPr>
        <w:spacing w:after="0" w:line="13" w:lineRule="exact"/>
        <w:rPr>
          <w:rFonts w:ascii="Times New Roman" w:cs="Times New Roman" w:eastAsia="Times New Roman" w:hAnsi="Times New Roman"/>
          <w:sz w:val="18"/>
          <w:szCs w:val="18"/>
          <w:color w:val="auto"/>
        </w:rPr>
      </w:pPr>
    </w:p>
    <w:p>
      <w:pPr>
        <w:ind w:left="1620" w:right="1079" w:hanging="360"/>
        <w:spacing w:after="0" w:line="282"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377 restricted stock units which are settled in shares of Company common stock upon separation from service.</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 shares in an IRA and 1,623 shares held in the 401(k).</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2,519 restricted stock units in connection with the Performance-Based SERP.</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7,065 shares held in the 401(k).</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4,943 restricted stock units in connection with the Performance-Based SERP.</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2,780 shares held in the 401(k).</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presence in person or by proxy of holders of a majority of the total number of issued and outstanding shares of common stock entitled to vote is necessary to constitute a quorum at the annual meeting. Abstentions and broker non-votes will be counted for purposes of determining that a quorum is present. In the event there are not sufficient votes for a quorum, or to approve or ratify any matter being presented at the time of the annual meeting, the annual meeting may be adjourned in order to permit the further solicitation of proxies.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Not Casting Your Vote</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If you hold your shares in “street name,” you are considered the beneficial owner of your shares and your broker, bank or other holder of record is sending these proxy materials to you. As the beneficial owner, you have the right to direct your broker, bank or other holder of record how to vote by completing a voting instruction form provided by your broker, bank or other holder of record that accompanies your proxy materials. If you hold your shares in street name, it is critical that you cast your vote if you want it to count in the election of directors. Current regulations restrict the ability of your bank, broker or other holder of record to vote your shares in the election of directors and certain other matters on a discretionary basis. Therefore, if you hold your shares in street name and you do not instruct your bank, broker or other holder of record on how to vote in the election of directors, no votes will be cast on your behalf. These are referred to as “broker non-votes.” Your bank, broker or other holder of record, however, does continue to have discretion to vote any shares for which you do not provide instructions on how to vote on the ratification of the appointment of the independent registered public accounting firm. If you are a stockholder of record and you do not cast your vote, no votes will be cast on your behalf on any of the items of business at the annual meeting.</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As to the election of directors, the proxy card being provided by the Board of Directors enables a stockholder: (i) to vote FOR each nominee; or (ii) to WITHHOLD for each nominee. Directors are elected by a plurality of votes cast, without regard to either broker non-votes or proxies as to which the authority to vote for the nominees being proposed is withheld. Plurality means that individuals who receive the highest number of votes cast are elected, up to the maximum number of directors to be elected at the annual meeting.</w:t>
      </w:r>
    </w:p>
    <w:p>
      <w:pPr>
        <w:spacing w:after="0" w:line="33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As to the ratification of the appointment of Crowe LLP as our independent registered public accounting firm for the year ending December 31, 2026, a stockholder may: (i) vote FOR the ratification; (ii) vote AGAINST the ratification; or (iii) ABSTAIN from voting on such ratification. The ratification of this matter shall be determined by a majority of the votes cast at the annual meeting, without regard to proxies marked ABSTAIN or broker non-votes.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Participants in the Orange County Bancorp, Inc. 401(k) Plan</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If you have invested in shares of Company common stock through the Orange County Bancorp, Inc. 401(k) Plan, as amended (the “401(k) Plan”), you will receive a proxy card that allows you to direct Principal Trust Company, as the 401(k) Plan trustee how to vote the shares of Company common stock credited to your 401(k) Plan account. Under the terms of the 401(k) Plan, the 401(k) Plan trustee votes all shares of Company common stock held in the 401(k) Plan trust, but each 401(k) Plan participant may direct the trustee how to vote the shares of Company common stock credited to his or her account. The 401(k) Plan trustee will vote all shares of Company common stock held in the 401(k) Plan trust for which a participant has voted to abstain or for which no voting instructions are received in the same proportion as shares of Company common stock for which it has received timely voting instructions, subject to a determination that such vote is in the best interest of 401(k) Plan participants.</w:t>
      </w:r>
    </w:p>
    <w:p>
      <w:pPr>
        <w:spacing w:after="0" w:line="113"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order for your 401(k) Plan voting instructions to be timely, the 401(k) Plan trustee must receive your voting instructions by 11:59 p.m. Eastern time on May 20, 2026.</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I — ELECTION OF DIRECTORS</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is comprised of nine members. Our Bylaws provide that directors are divided into three classes as nearly equal in number as possible, with one class of directors elected annually. Three directors have been nominated for election at the annual meeting. The Board of Directors has nominated Michael J. Gilfeather, Marianna R. Kennedy and Richard B. Rowley, each to serve as a director for a three-year term and until each of their respective successors shall have been elected and qualified.</w:t>
      </w:r>
    </w:p>
    <w:p>
      <w:pPr>
        <w:spacing w:after="0" w:line="1"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Messrs. Gilfeather and Rowley and Ms. Kennedy are currently directors of the Company, and each nominee has agreed to serve as a director if elected.</w:t>
      </w:r>
    </w:p>
    <w:p>
      <w:pPr>
        <w:spacing w:after="0" w:line="113"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following sets forth certain information regarding the nominees, the other current members of our Board of Directors, and executive officers who are not directors. It is intended that the proxies solicited on behalf of the Board of Directors (other than proxies in which the vote is withheld as to any nominee) will be voted at the annual meeting for the election of the proposed nominees. If a nominee is unable to serve, the shares represented by all such proxies will be voted for the election of such substitute as the Board of Directors may determine. At this time, the Board of Directors knows of no reason why any of the nominees might be unable to serve, if elected. Except as indicated herein, there are no arrangements or understandings between any nominee or continuing director and any other person pursuant to which such nominee or continuing director was selected. Age information is as of March 30, 2026, and term as a director includes service with Orange Bank &amp; Trust Company (the “Bank”) prior to the incorporation of the Company.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nominees for director for a term ending in 2029 are:</w:t>
      </w:r>
    </w:p>
    <w:p>
      <w:pPr>
        <w:spacing w:after="0" w:line="15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J. Gilfeather. </w:t>
      </w:r>
      <w:r>
        <w:rPr>
          <w:rFonts w:ascii="Times New Roman" w:cs="Times New Roman" w:eastAsia="Times New Roman" w:hAnsi="Times New Roman"/>
          <w:sz w:val="18"/>
          <w:szCs w:val="18"/>
          <w:color w:val="auto"/>
        </w:rPr>
        <w:t>Mr. Gilfeather has been President and Chief Executive Officer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Bank since April 2014. Mr. Gilfeather also serves as a director of the Company, the Bank and Orange Investment Advisors, Inc. (“OIA”). Mr. Gilfeather began his banking career with The Bank of New York and was the Division Head responsible for all retail banking in Manhattan for 10 years. He was later an Executive Vice President and Chief Administrative Officer at Hudson Valley Bank overseeing all Branch Banking, Trust and Human Resources. In 2026, Mr. Gilfeather was appointed to the Board of Directors of the Federal Reserve Bank of New York as a Class A Director, representing member banks of the Second Federal Reserve District with capital and surplus between $40 million and $2 billion. Mr. Gilfeather’s other outside board responsibility is with the New York Bankers Association where he is a past Chairman and serves on the Executive Committee. He was most recently on the Executive Board and prior Chairman of the Orange County Partnership, an economic development organization. In addition, he was previously on the boards of the Orange Regional Hospital Foundation, the Orange County Chamber of Commerce and the United Way of Orange &amp; Dutchess Counties. Mr. Gilfeather has a Bachelor of Science degree in Psychology from Union College and a Master of Business Administration degree from Pace University. Mr. Gilfeather’s extensive knowledge of the banking industry and strong leadership skills provide the Board with invaluable insight and guidance into the business and regulatory requirements of today’s banking environment. Age 68. Director since 2014.</w:t>
      </w:r>
    </w:p>
    <w:p>
      <w:pPr>
        <w:spacing w:after="0" w:line="333"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Marianna R. Kennedy. </w:t>
      </w:r>
      <w:r>
        <w:rPr>
          <w:rFonts w:ascii="Times New Roman" w:cs="Times New Roman" w:eastAsia="Times New Roman" w:hAnsi="Times New Roman"/>
          <w:sz w:val="18"/>
          <w:szCs w:val="18"/>
          <w:color w:val="auto"/>
        </w:rPr>
        <w:t>Ms. Kennedy is a practicing attorney and partner at Drake Loeb PLLC,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distinguished law firm in the Hudson Valley. She has concentrated her practice on business and financial transactions. She represents regional and national businesses primarily in matters involving acquisitions, sales and mergers, commercial contracts, succession planning, commercial borrowing, and leasing.</w:t>
      </w:r>
    </w:p>
    <w:p>
      <w:pPr>
        <w:spacing w:after="0" w:line="2" w:lineRule="exact"/>
        <w:rPr>
          <w:sz w:val="20"/>
          <w:szCs w:val="20"/>
          <w:color w:val="auto"/>
        </w:rPr>
      </w:pPr>
    </w:p>
    <w:p>
      <w:pPr>
        <w:ind w:left="1260" w:right="639"/>
        <w:spacing w:after="0" w:line="244" w:lineRule="auto"/>
        <w:rPr>
          <w:sz w:val="20"/>
          <w:szCs w:val="20"/>
          <w:color w:val="auto"/>
        </w:rPr>
      </w:pPr>
      <w:r>
        <w:rPr>
          <w:rFonts w:ascii="Times New Roman" w:cs="Times New Roman" w:eastAsia="Times New Roman" w:hAnsi="Times New Roman"/>
          <w:sz w:val="18"/>
          <w:szCs w:val="18"/>
          <w:color w:val="auto"/>
        </w:rPr>
        <w:t>Ms. Kennedy is a current and past member of numerous boards, many of which she served in leadership positions. Ms. Kennedy graduated magna cum laude from Pace University School of Law. Ms. Kennedy’s experience as a partner in a law firm, and her transactional experience and involvement in business and civic organizations in the communities served by the Company and its affiliates, provide the Board of Directors of the Company with valuable insight. Age 62. Director since 2022.</w:t>
      </w:r>
    </w:p>
    <w:p>
      <w:pPr>
        <w:spacing w:after="0" w:line="112" w:lineRule="exact"/>
        <w:rPr>
          <w:sz w:val="20"/>
          <w:szCs w:val="20"/>
          <w:color w:val="auto"/>
        </w:rPr>
      </w:pPr>
    </w:p>
    <w:p>
      <w:pPr>
        <w:ind w:left="1260" w:right="65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B. Rowley. </w:t>
      </w:r>
      <w:r>
        <w:rPr>
          <w:rFonts w:ascii="Times New Roman" w:cs="Times New Roman" w:eastAsia="Times New Roman" w:hAnsi="Times New Roman"/>
          <w:sz w:val="18"/>
          <w:szCs w:val="18"/>
          <w:color w:val="auto"/>
        </w:rPr>
        <w:t>Mr. Rowley is President of Libertyville Capital Group and Rowley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 Mr. Rowley is also the former CEO and owner of Rowley Building Products and Window Tech. Mr. Rowley also serves as the Chairman of OIA. He has a Bachelor of Arts degree from Susquehanna University and Diplomas in British History, Politics, and Fine Arts from University College, Oxford England. Mr. Rowley is a prominent regional philanthropist whose accomplishments include the Rowley Birthing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8" w:lineRule="auto"/>
        <w:rPr>
          <w:sz w:val="20"/>
          <w:szCs w:val="20"/>
          <w:color w:val="auto"/>
        </w:rPr>
      </w:pPr>
      <w:r>
        <w:rPr>
          <w:rFonts w:ascii="Times New Roman" w:cs="Times New Roman" w:eastAsia="Times New Roman" w:hAnsi="Times New Roman"/>
          <w:sz w:val="18"/>
          <w:szCs w:val="18"/>
          <w:color w:val="auto"/>
        </w:rPr>
        <w:t>Center at Garnet Health Medical Center and the Rowley Engineering and Science Building on the Middletown Campus of Orange County Community College. Mr. Rowley is a current and past member of numerous boards, many of which he served in leadership positions. Mr. Rowley’s extensive business experience and community involvement provides the Board of Directors of the Company and its affiliates with insight into the economic and business trends in our market area. Age 71. Director since 2009.</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 of the nominees for director.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following directors have terms ending in 2027:</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F. Holcombe. </w:t>
      </w:r>
      <w:r>
        <w:rPr>
          <w:rFonts w:ascii="Times New Roman" w:cs="Times New Roman" w:eastAsia="Times New Roman" w:hAnsi="Times New Roman"/>
          <w:sz w:val="18"/>
          <w:szCs w:val="18"/>
          <w:color w:val="auto"/>
        </w:rPr>
        <w:t>Mr. Holcombe is a builder, owner and manager of multi-family and mixed-use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in lower Westchester County, New York. From 1995 to 2006, Mr. Holcombe served as Vice President of Supply Chain Development for Precision Valve Corporation. Mr. Holcombe served as a director of Hudson Valley Holding Corp. and Hudson Valley Bank from 1999 to 2015. Mr. Holcombe received a Bachelor of Arts degree in Latin American Studies and International Marketing from Tulane University and has served and continues to serve on the boards of directors of several corporate and community organizations. Mr. Holcombe’s prior bank board service, along with his skills in driving company performance and knowledge of our local community will assist us as we continue to grow. Age 64. Director since 2017.</w:t>
      </w:r>
    </w:p>
    <w:p>
      <w:pPr>
        <w:spacing w:after="0" w:line="33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Schiller. </w:t>
      </w:r>
      <w:r>
        <w:rPr>
          <w:rFonts w:ascii="Times New Roman" w:cs="Times New Roman" w:eastAsia="Times New Roman" w:hAnsi="Times New Roman"/>
          <w:sz w:val="18"/>
          <w:szCs w:val="18"/>
          <w:color w:val="auto"/>
        </w:rPr>
        <w:t>Mr. Schiller is an entrepreneur with vast senior leadership experience. He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CEO of Hospicom Inc., a world-class medical education and consulting company that serves Fortune 100 pharmaceutical and biotechnology companies. Mr. Schiller founded Hospicom Inc. in 2003 and successfully led Hospicom’s transition from a startup to a highly successful, multimillion-dollar global organization. He previously founded the Society of Academic Medicine and Strategically Speaking Inc. Mr. Schiller earned a BS in Pharmacy and is a Registered Pharmacist from St. John’s University and an MBA in Marketing / Marketing Management from Columbia University Business School. Mr. Schiller’s consulting experience, along with his skills in driving company performance are valuable assets to the board. Age 61. Director since 2024.</w:t>
      </w:r>
    </w:p>
    <w:p>
      <w:pPr>
        <w:spacing w:after="0" w:line="107"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Olga Luz Tirado. </w:t>
      </w:r>
      <w:r>
        <w:rPr>
          <w:rFonts w:ascii="Times New Roman" w:cs="Times New Roman" w:eastAsia="Times New Roman" w:hAnsi="Times New Roman"/>
          <w:sz w:val="18"/>
          <w:szCs w:val="18"/>
          <w:color w:val="auto"/>
        </w:rPr>
        <w:t>Ms. Tirado is the President of O Communications &amp; Solutions, LLC, a minority-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women-owned public relations and branding agency she founded in 2017. She previously spent a decade leading The Bronx Tourism Council, where she spearheaded successful campaigns that connected cultural institutions, restaurants, businesses, and corporate partners, while helping to rebrand the borough, highlighting its rich history and diversity to both domestic and global audiences. During her tenure,</w:t>
      </w:r>
    </w:p>
    <w:p>
      <w:pPr>
        <w:spacing w:after="0" w:line="3"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 xml:space="preserve">Ms. Tirado managed high-profile events including Bronx Week, Tour de Bronx, and Savor the Bronx Restaurant Week. She also published the first-ever Annual Bronx Visitor Guide and produced and hosted the Webby Award winning podcast, </w:t>
      </w:r>
      <w:r>
        <w:rPr>
          <w:rFonts w:ascii="Times New Roman" w:cs="Times New Roman" w:eastAsia="Times New Roman" w:hAnsi="Times New Roman"/>
          <w:sz w:val="18"/>
          <w:szCs w:val="18"/>
          <w:i w:val="1"/>
          <w:iCs w:val="1"/>
          <w:color w:val="auto"/>
        </w:rPr>
        <w:t>Go Bronx Pod</w:t>
      </w:r>
      <w:r>
        <w:rPr>
          <w:rFonts w:ascii="Times New Roman" w:cs="Times New Roman" w:eastAsia="Times New Roman" w:hAnsi="Times New Roman"/>
          <w:sz w:val="18"/>
          <w:szCs w:val="18"/>
          <w:color w:val="auto"/>
        </w:rPr>
        <w:t>. Ms. Tirado serves on the Board of Directors of the New York State Tourism Industry Association, where she chairs the Diversity, Equity, Inclusion, and Accessibility Committee. In 2026, she was also appointed to the Hudson Valley Regional Council. Her deep involvement in business and civic organizations across the Bronx and New York City provides valuable insight into emerging and expanding market opportunities. Age 65. Director since 2023.</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following directors have terms ending in 2028:</w:t>
      </w:r>
    </w:p>
    <w:p>
      <w:pPr>
        <w:spacing w:after="0" w:line="127" w:lineRule="exact"/>
        <w:rPr>
          <w:sz w:val="20"/>
          <w:szCs w:val="20"/>
          <w:color w:val="auto"/>
        </w:rPr>
      </w:pPr>
    </w:p>
    <w:p>
      <w:pPr>
        <w:ind w:left="1260" w:right="43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J. Keane. </w:t>
      </w:r>
      <w:r>
        <w:rPr>
          <w:rFonts w:ascii="Times New Roman" w:cs="Times New Roman" w:eastAsia="Times New Roman" w:hAnsi="Times New Roman"/>
          <w:sz w:val="18"/>
          <w:szCs w:val="18"/>
          <w:color w:val="auto"/>
        </w:rPr>
        <w:t>Mr. Keane is the Managing Partner for PKF O’Connor Davies, the nation’s 26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and advisory firm. With more than 30 years’ experience, Mr. Keane is recognized for delivering outstanding accounting and business advisory services and exceptional client experiences to the high-net-worth and family-owned companies in the manufacturing, distribution, real estate, construction industries and more. Mr. Keane is a supporter of various charities and an active participant on boards of directors and finance committees for many area nonprofit organizations and clubs, including the John A. Coleman School of the Elizabeth Seton Pediatric Center, Lititz Watch Technicum and the Irish Arts Center. He is also the Chairman of the Board of Trustees for his alma mater, Archbishop Stepinac High School. Mr. Keane was a founder of The Westchester Bank and served on the board of directors of the bank until the bank was acquired in 2021. Mr. Keane is a graduate of the State University of New York at Albany and earned his Master of Business Administration degree in corporate finance from Pace University. Mr. Keane’s expertise</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in accounting and business advisory services as well as his local and regional community involvement are valuable assets to the Board of Directors of the Company. Age 69. Director since 2022.</w:t>
      </w:r>
    </w:p>
    <w:p>
      <w:pPr>
        <w:spacing w:after="0" w:line="90"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D. Morrison. </w:t>
      </w:r>
      <w:r>
        <w:rPr>
          <w:rFonts w:ascii="Times New Roman" w:cs="Times New Roman" w:eastAsia="Times New Roman" w:hAnsi="Times New Roman"/>
          <w:sz w:val="18"/>
          <w:szCs w:val="18"/>
          <w:color w:val="auto"/>
        </w:rPr>
        <w:t>Mr. Morrison is an independent insurance professional and served for 23 years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senior account executive in commercial insurance with Marshall &amp; Sterling Insurance Company. He has a Bachelor of Science in Business Administration degree from Marist College. Mr. Morrison is a current or past board member of several community, corporate and charitable organizations. Mr. Morrison’s work experience provides the Board of Directors of the Company with strong insight into budgeting and financial strategy. Age 71. Director since 2004.</w:t>
      </w:r>
    </w:p>
    <w:p>
      <w:pPr>
        <w:spacing w:after="0" w:line="115"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F. Rouis, CPA. </w:t>
      </w:r>
      <w:r>
        <w:rPr>
          <w:rFonts w:ascii="Times New Roman" w:cs="Times New Roman" w:eastAsia="Times New Roman" w:hAnsi="Times New Roman"/>
          <w:sz w:val="18"/>
          <w:szCs w:val="18"/>
          <w:color w:val="auto"/>
        </w:rPr>
        <w:t>Mr. Rouis serves as our Chairman of the Board. Mr. Rouis is a Partner at RBT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CPAs, an accounting, auditing, tax and consulting firm and the former managing partner at Rouis &amp; Company LLC CPAs. Mr. Rouis served on the Sullivan County Legislature and served as its Chairman. He has a Bachelor of Business Administration degree in Accounting from St. Bonaventure University.</w:t>
      </w:r>
    </w:p>
    <w:p>
      <w:pPr>
        <w:spacing w:after="0" w:line="3"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Mr. Rouis is a member or past member of several professional and community organizations, including serving on the Greater Hudson Valley Health Systems board of directors. Mr. Rouis’ expertise in accounting and corporate management and his community involvement are valuable assets to the board. Age 54. Director since 2018.</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14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A. Ruhl. </w:t>
      </w:r>
      <w:r>
        <w:rPr>
          <w:rFonts w:ascii="Times New Roman" w:cs="Times New Roman" w:eastAsia="Times New Roman" w:hAnsi="Times New Roman"/>
          <w:sz w:val="18"/>
          <w:szCs w:val="18"/>
          <w:color w:val="auto"/>
        </w:rPr>
        <w:t>Mr. Ruhl joined the Bank in 2015 to lead the commercial business expansion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Westchester County as Executive Vice President, Regional President for Westchester and Chief Deposit Officer. In 2026, Mr. Ruhl was promoted to Senior Executive Vice President recognizing his leadership, performance, and contributions to the Bank’s growth in the Westchester County and Lower Hudson Valley markets. Mr. Ruhl spent the first part of his career as a practicing attorney until joining Hudson Valley Bank over 25 years ago as First Senior Vice President and Division Executive in charge of its Legal Services Division. Mr. Ruhl has a Juris Doctor from Pace University School of Law and a Bachelor of Arts from Fordham University. Mr. Ruhl is active in many civic and charitable causes in the Company’s market area. Mr. Ruhl is the Chairman Emeritus of the Board of the St. Philip the Apostle Foundation, and the Secretary of the Italian American Forum. Mr. Ruhl is an active member of various bar associations, a Director of the Columbian Lawyers Association of Westchester County, and a frequent lecturer on business management, ethics and attorney banking issues. Age 60.</w:t>
      </w:r>
    </w:p>
    <w:p>
      <w:pPr>
        <w:spacing w:after="0" w:line="3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Lesler. </w:t>
      </w:r>
      <w:r>
        <w:rPr>
          <w:rFonts w:ascii="Times New Roman" w:cs="Times New Roman" w:eastAsia="Times New Roman" w:hAnsi="Times New Roman"/>
          <w:sz w:val="18"/>
          <w:szCs w:val="18"/>
          <w:color w:val="auto"/>
        </w:rPr>
        <w:t>Mr. Lesler joined the Company and Bank in December 2021 as Senior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Controller and Chief Accounting Officer. He was promoted to Senior Vice President and Chief Financial Officer in March 2023 and named Executive Vice President and Chief Financial Officer in December 2023 adding responsibility for oversight of the Bank’s Information Technology Department. Mr. Lesler has over 20 years of experience in the banking industry. Prior to joining the Company and the Bank, Mr. Lesler served as Executive Vice President and Chief Operating Officer for BCB Bancorp, Inc. from 2018 to 2021 and prior to that, he served in the same position at Clifton Bancorp, Inc. from 2016 to 2018. He also held the positions of Chief Financial Officer and President and Chief Executive Officer at Bank of New Jersey where he served for 11 years. Mr. Lesler currently serves on the Boards of Garnet Health Foundation, United Way of Orange &amp; Dutchess Counties and the Clifton Boys &amp; Girls Club. Mr. Lesler holds a Bachelor of Science degree in accounting from Rutgers University. Age 55.</w:t>
      </w:r>
    </w:p>
    <w:p>
      <w:pPr>
        <w:spacing w:after="0" w:line="11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Sousa. </w:t>
      </w:r>
      <w:r>
        <w:rPr>
          <w:rFonts w:ascii="Times New Roman" w:cs="Times New Roman" w:eastAsia="Times New Roman" w:hAnsi="Times New Roman"/>
          <w:sz w:val="18"/>
          <w:szCs w:val="18"/>
          <w:color w:val="auto"/>
        </w:rPr>
        <w:t>Mr. Sousa joined the Bank in 2015 as Vice President and Senior Relationship Manager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deposit and lending businesses as the Bank built out its Rockland and Westchester markets. In 2017, he was promoted to First Vice President and given the added responsibility of leading business development efforts for all Orange and Rockland branches. In recognition of his impact on both fronts, he was promoted to Senior Vice President in 2018, adding responsibility for Marketing and Product Development initiatives to his portfolio. In 2020, Mr. Sousa was promoted to Executive Vice President, Chief Commercial Banking Officer, and in 2023 he was named Deputy Chief Lending Officer. In July 2024, Mr. Sousa was promoted to Executive Vice President, Chief Lending Officer. Mr. Sousa has over 20 years of experience in the banking industry. Prior to joining the Bank, Mr. Sousa previously worked at Union State Bank and TD/Commerce Bank. Mr. Sousa has a Bachelor’s degree in Economics from the State University of New York at Binghamton. Mr. Sousa has also been recognized as one of Rockland County’s “Forty</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19"/>
        <w:spacing w:after="0" w:line="297" w:lineRule="auto"/>
        <w:rPr>
          <w:sz w:val="20"/>
          <w:szCs w:val="20"/>
          <w:color w:val="auto"/>
        </w:rPr>
      </w:pPr>
      <w:r>
        <w:rPr>
          <w:rFonts w:ascii="Times New Roman" w:cs="Times New Roman" w:eastAsia="Times New Roman" w:hAnsi="Times New Roman"/>
          <w:sz w:val="18"/>
          <w:szCs w:val="18"/>
          <w:color w:val="auto"/>
        </w:rPr>
        <w:t>Under 40,” is a graduate of Leadership Rockland and a graduate of ABA Stonier Graduate School of Banking, earning his Wharton Leadership Certificate in 2015. Age 46.</w:t>
      </w:r>
    </w:p>
    <w:p>
      <w:pPr>
        <w:spacing w:after="0" w:line="78"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Orville Aarons. </w:t>
      </w:r>
      <w:r>
        <w:rPr>
          <w:rFonts w:ascii="Times New Roman" w:cs="Times New Roman" w:eastAsia="Times New Roman" w:hAnsi="Times New Roman"/>
          <w:sz w:val="18"/>
          <w:szCs w:val="18"/>
          <w:color w:val="auto"/>
        </w:rPr>
        <w:t>Mr. Aarons joined the Bank in October 2025 as Executive Vice President and Chief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Risk Management. In this role, Mr. Aarons is responsible for institutional portfolio management and underwriting support for the Bank’s top commercial borrowers. He oversees the Bank’s Credit Department and manages the participation loan portfolio, ensuring rigorous credit discipline. Prior to joining the Bank, Mr. Aarons worked with various financial institutions through his consulting firm, O. Aarons &amp; Company, Inc., that was established in 1992. Through his firm, he served as interim management and provided investment banking services primarily to financial institutions, principal groups and middle-market operating companies. Mr. Aarons brings decades of senior-level banking experience, most recently serving as President and a Director for Catskill Hudson Bank, previously as Director of Naugatuck Valley Financial Corporation and Executive Vice President and Chief Lending Officer for The Community’s Bank. He has also held leadership roles at National Westminster Bank. Mr. Aarons holds a Bachelor’s degree from Georgetown University and a Master of Business Administration degree from the University of Chicago. Age 72.</w:t>
      </w:r>
    </w:p>
    <w:p>
      <w:pPr>
        <w:spacing w:after="0" w:line="332"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P. Dineen. </w:t>
      </w:r>
      <w:r>
        <w:rPr>
          <w:rFonts w:ascii="Times New Roman" w:cs="Times New Roman" w:eastAsia="Times New Roman" w:hAnsi="Times New Roman"/>
          <w:sz w:val="18"/>
          <w:szCs w:val="18"/>
          <w:color w:val="auto"/>
        </w:rPr>
        <w:t>Mr. Dineen joined the Company in March 2022 as the Senior Vice President,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Wealth Services. Mr. Dineen was promoted to Executive Vice President / Senior Managing Director of Wealth Services in January 2025. Mr. Dineen oversees the Company’s Orange Wealth Management Program which consists of investment services provided through OIA and trust and private banking services provided through the Bank. Mr. Dineen has over 35 years of experience in the banking industry. Prior to joining the Bank, Mr. Dineen previously worked at Republic Bank, Bankwell Financial, The Bank of New York, Commerce Bank, North Fork Bank, and Capital One. Mr. Dineen most recently served as Senior Vice President, Market Manager at Republic Bank from 2019 to 2021, where he was responsible for treasury management, lending, and establishment of their Private Banking group. Prior to that Mr. Dineen previously served as Executive Vice President, Community Banking Officer at Bankwell Financial from 2016 to 2019, where he was part of the executive team responsible for 12 branch offices, training, deposit operations and treasury management. Mr. Dineen has a Bachelor of Business Administration degree from Saint Joseph’s College. Age 62.</w:t>
      </w:r>
    </w:p>
    <w:p>
      <w:pPr>
        <w:spacing w:after="0" w:line="346" w:lineRule="exact"/>
        <w:rPr>
          <w:sz w:val="20"/>
          <w:szCs w:val="20"/>
          <w:color w:val="auto"/>
        </w:rPr>
      </w:pPr>
    </w:p>
    <w:p>
      <w:pPr>
        <w:ind w:left="1260" w:right="479" w:firstLine="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Jones. </w:t>
      </w:r>
      <w:r>
        <w:rPr>
          <w:rFonts w:ascii="Times New Roman" w:cs="Times New Roman" w:eastAsia="Times New Roman" w:hAnsi="Times New Roman"/>
          <w:sz w:val="18"/>
          <w:szCs w:val="18"/>
          <w:color w:val="auto"/>
        </w:rPr>
        <w:t>Ms. Jones joined the Bank in 2016 as First Vice President, Director of Branch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 Operations. In 2018, she was given the responsibility of Loan Operations, and in 2021, she was promoted to Director of Operations. In 2022, Ms. Jones was appointed Senior Vice President, Chief Operating Officer and in 2025, Ms. Jones was promoted to Executive Vice President. In this role, Ms. Jones oversees all branch operations, deposit operations, loan operations, compliance, project management, and facilities. Ms. Jones has over 20 years of experience in the banking industry. Prior to joining the Bank, Ms. Jones worked at Sterling National Bank, where she served in various operational roles during her 20-year tenure. Age 47.</w:t>
      </w:r>
    </w:p>
    <w:p>
      <w:pPr>
        <w:spacing w:after="0" w:line="344" w:lineRule="exact"/>
        <w:rPr>
          <w:sz w:val="20"/>
          <w:szCs w:val="20"/>
          <w:color w:val="auto"/>
        </w:rPr>
      </w:pPr>
    </w:p>
    <w:p>
      <w:pPr>
        <w:ind w:left="1260" w:right="539" w:firstLine="36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Listner. </w:t>
      </w:r>
      <w:r>
        <w:rPr>
          <w:rFonts w:ascii="Times New Roman" w:cs="Times New Roman" w:eastAsia="Times New Roman" w:hAnsi="Times New Roman"/>
          <w:sz w:val="18"/>
          <w:szCs w:val="18"/>
          <w:color w:val="auto"/>
        </w:rPr>
        <w:t>Mr. Listner joined the Bank in 2018 as First Vice President and Senior Credit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was promoted to Senior Vice President and Chief Credit Officer of the Bank 2020. Mr. Listner became Senior Vice President and Chief Risk Officer in March 2023. Prior to joining the Bank, Mr. Listner previously worked at Sun National Bank and BBVA Compass Bank. Prior to his roles in the banking industry, Mr. Listner worked at Standard &amp; Poor’s, covering structured finance products and both investment grade and high yield corporates. Mr. Listner has a Master of Business Administration degree in finance and accounting from New York University Stern School of Business and a Bachelor of Science degree in finance and economics from Villanova University. Age 48.</w:t>
      </w:r>
    </w:p>
    <w:p>
      <w:pPr>
        <w:spacing w:after="0" w:line="109"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Rooney. </w:t>
      </w:r>
      <w:r>
        <w:rPr>
          <w:rFonts w:ascii="Times New Roman" w:cs="Times New Roman" w:eastAsia="Times New Roman" w:hAnsi="Times New Roman"/>
          <w:sz w:val="18"/>
          <w:szCs w:val="18"/>
          <w:color w:val="auto"/>
        </w:rPr>
        <w:t>Mr. Rooney joined the Bank in August 2022 and currently serves as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Chief Credit Officer. Mr. Rooney has over 35 years of experience in the banking industry. From 2014 to 2022, Mr. Rooney was a Senior Vice President for Unity Bank, serving as both Chief Lending Officer and Chief Credit Officer over that period. Prior to Unity Bank, Mr. Rooney held progressively more senior positions at Sun National Bank, Standard &amp; Poor’s and Philadelphia National Bank. Mr. Rooney has a Master of Business Administration degree in Finance from New York University Stern School of Business and a Business Administration degree in Finance/Humanities from Providence College. Age 63.</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Board of Directors has determined that each of our directors, other than Mr. Gilfeather, is independent under the Nasdaq Stock Market corporate governance listing standards. Mr. Gilfeather is not independent because he is the President and Chief Executive Officer of the Company and the Bank. In evaluating the independence of our independent directors, we found no transactions between the Company, the Bank or OIA and our independent directors that are not required to be reported under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Relationships and Related Party Transactions” </w:t>
      </w:r>
      <w:r>
        <w:rPr>
          <w:rFonts w:ascii="Times New Roman" w:cs="Times New Roman" w:eastAsia="Times New Roman" w:hAnsi="Times New Roman"/>
          <w:sz w:val="18"/>
          <w:szCs w:val="18"/>
          <w:color w:val="auto"/>
        </w:rPr>
        <w:t>below, and that had an impact on our determination as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independence of our directors.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 and Risk Oversight</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is chaired by Jonathan F. Rouis, who is an independent director. Having an independent chair ensures a greater role for the independent directors in the oversight of the Company and the Bank and active participation of the independent directors in setting agendas and establishing priorities and procedures for the work of the Board of Directors.</w:t>
      </w:r>
    </w:p>
    <w:p>
      <w:pPr>
        <w:spacing w:after="0" w:line="9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To further assure effective independent oversight, the Board of Directors has adopted a number of governance practices, including:</w:t>
      </w:r>
    </w:p>
    <w:p>
      <w:pPr>
        <w:spacing w:after="0" w:line="81"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are independent directors;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meetings of the independent directors; and</w:t>
      </w:r>
    </w:p>
    <w:p>
      <w:pPr>
        <w:spacing w:after="0" w:line="13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 evaluations of the President and Chief Executive Officer by the independent directors.</w:t>
      </w:r>
    </w:p>
    <w:p>
      <w:pPr>
        <w:spacing w:after="0" w:line="9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recognizes that, depending on the circumstances, other leadership models might be appropriate. Accordingly, the Board of Directors periodically reviews its leadership structure.</w:t>
      </w:r>
    </w:p>
    <w:p>
      <w:pPr>
        <w:spacing w:after="0" w:line="9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is actively involved in oversight of risks that could affect the Company. This oversight is conducted primarily through committees of the Board of Directors, but the full Board of Directors has retained responsibility for general oversight of risks. The Board of Directors also satisfies this responsibility through reports by the committee chair of all board committees regarding the committees’ considerations and actions, through review of minutes of committee meetings and through regular reports directly from officers responsible for oversight of particular risks within the Company. The Board of Directors of the Bank also has additional committees that conduct risk oversight. All committees are responsible for the establishment of policies that guide management and staff in the day-to-day operation of the Company and the Bank, such as lending, risk management, asset/liability management, investment management and others.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References to our Website Address</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References to our website address throughout this proxy statement and the accompanying materials are for informational purposes only, or to fulfill specific disclosure requirements of the Securities and Exchange Commission’s rules. These references are not intended to, and do not, incorporate the contents of our website by reference into this proxy statement or the accompanying materials.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Our executive officers and directors and beneficial owners of greater than 10% of the outstanding shares of common stock are required to file reports with the Securities and Exchange Commission disclosing beneficial ownership and changes in beneficial ownership of our common stock. Securities and Exchange Commission rules require disclosure if an executive officer, director or 10% beneficial owner fails to file these reports on a timely basis. Based on our review of ownership reports required to be filed during the year ended December 31, 2025, the following executive officers, directors or 10% beneficial owners of our shares of common stock failed to file ownership reports on a timely basis: Director Rowley had one late Form 4 filing reporting one transaction.</w:t>
      </w:r>
    </w:p>
    <w:p>
      <w:pPr>
        <w:spacing w:after="0" w:line="3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Ethics for Senior Officers</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The Company has adopted a Code of Ethics for Senior Officers that applies to the Company’s principal executive officer, principal financial officer, principal accounting officer or controller, or persons performing similar functions. The Code of Ethics for Senior Officers is available on our website at www.orangebanktrust.com under the </w:t>
      </w:r>
      <w:r>
        <w:rPr>
          <w:rFonts w:ascii="Times New Roman" w:cs="Times New Roman" w:eastAsia="Times New Roman" w:hAnsi="Times New Roman"/>
          <w:sz w:val="18"/>
          <w:szCs w:val="18"/>
          <w:i w:val="1"/>
          <w:iCs w:val="1"/>
          <w:color w:val="auto"/>
        </w:rPr>
        <w:t>About Us — Investor Relations — Corporate Governance</w:t>
      </w:r>
      <w:r>
        <w:rPr>
          <w:rFonts w:ascii="Times New Roman" w:cs="Times New Roman" w:eastAsia="Times New Roman" w:hAnsi="Times New Roman"/>
          <w:sz w:val="18"/>
          <w:szCs w:val="18"/>
          <w:color w:val="auto"/>
        </w:rPr>
        <w:t xml:space="preserve"> tab. Amendments to and waivers from the Code of Ethics for Senior Officers will also be disclosed on our website.</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Policy</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and/or other dispositions of our securities by our directors, officers and employees as well as by the Company itself that we believe is reasonably designed to promote compliance with insider trading laws, rules and regulations, and the Nasdaq exchange listing standards. A copy of our Insider Trading Policy was filed as Exhibit 19 to our Annual Report on Form 10-K for the year ended December 31, 2024.</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Company’s anti-hedging and anti-pledging provisions are covered in its Insider Trading Policy. Under the policy, directors and executive officers are prohibited from engaging in short sales of the Company’s stock, and unless specifically approved by the Board of Directors, from engaging in transactions in publicly traded options, such as puts, calls and other derivative securities based on Company stock including any hedging, monetization or similar transactions designed to decrease the risks associated with holding Company stock. The Board of Directors has not approved and does not intend to approve such a program. In addition, directors and executive officers are generally prohibited from pledging Company stock as collateral for any loan or holding Company stock in a margin account. The Board of Directors may approve an exception to this policy for a pledge of Company stock as collateral for a loan from a third party (not including margin debt) where the borrower clearly demonstrates the financial capacity to repay the loan without resort to the pledged securities. The Board of Directors has not approved any such exception to its policy.</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Company’s Non-Employee Director and Executive Officer Stock Ownership Guidelines (“Ownership Guidelines”), as amended effective January 1, 2026 (“Effective Date”), set forth stock ownership guidelines that are robust and reflect current corporate governance trends. The Company requires all “executive officers” (as​ defined under Section 16(b) of the Securities Exchange Act) and Non-Employee Directors to own or acquire shares of our Company common stock having a fair market value equal to the following amounts:</w:t>
      </w:r>
    </w:p>
    <w:p>
      <w:pPr>
        <w:spacing w:after="0" w:line="285" w:lineRule="exact"/>
        <w:rPr>
          <w:sz w:val="20"/>
          <w:szCs w:val="20"/>
          <w:color w:val="auto"/>
        </w:rPr>
      </w:pPr>
    </w:p>
    <w:p>
      <w:pPr>
        <w:ind w:left="1800" w:right="5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is expected to own shares of our common stock having a value equal to at least $150,000;</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 is expected to beneficially own shares of our common stock having a value equal to at least three (3) times his base salary;</w:t>
      </w:r>
    </w:p>
    <w:p>
      <w:pPr>
        <w:spacing w:after="0" w:line="53"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Senior Executive Vice President is expected to beneficially own shares of our common stock having a value equal to at least two (2) times that executive officer’s base salary as of the Effective Date;</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Vice President is expected to beneficially own shares of our common stock having a value equal to at least one and one half (1.5) times that executive officer’s base salary as of the Effective Date; and</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Senior Vice President is expected to beneficially own shares of our common stock having a value equal to at least one (1) times that executive officer’s base salary as of the Effective Date.</w:t>
      </w:r>
    </w:p>
    <w:p>
      <w:pPr>
        <w:spacing w:after="0" w:line="81" w:lineRule="exact"/>
        <w:rPr>
          <w:sz w:val="20"/>
          <w:szCs w:val="20"/>
          <w:color w:val="auto"/>
        </w:rPr>
      </w:pPr>
    </w:p>
    <w:p>
      <w:pPr>
        <w:ind w:left="1260" w:right="699" w:firstLine="360"/>
        <w:spacing w:after="0" w:line="251" w:lineRule="auto"/>
        <w:rPr>
          <w:sz w:val="20"/>
          <w:szCs w:val="20"/>
          <w:color w:val="auto"/>
        </w:rPr>
      </w:pPr>
      <w:r>
        <w:rPr>
          <w:rFonts w:ascii="Times New Roman" w:cs="Times New Roman" w:eastAsia="Times New Roman" w:hAnsi="Times New Roman"/>
          <w:sz w:val="18"/>
          <w:szCs w:val="18"/>
          <w:color w:val="auto"/>
        </w:rPr>
        <w:t>For purposes of determining compliance with these Ownership Guidelines, each Non-Employee Director or executive officer subject to the Ownership Guidelines as of the Effective Date will have until January 1, 2027, to attain their respective ownership levels outlined in these guidelines. Each Non-Employee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Director or executive officer who is subject to these Ownership Guidelines after the Effective Date will have five (5) years from the date he or she is subject to the guidelines to satisfy the ownership levels outlined herein. However, executive officers who receive a promotion and are subject to higher levels of ownership, have five (5) years from the promotion date to satisfy the new level of ownership set forth in the Ownership Guidelines.</w:t>
      </w:r>
    </w:p>
    <w:p>
      <w:pPr>
        <w:spacing w:after="0" w:line="32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Performance Shares or Units for which performance criteria have not been satisfied and unexercised stock options, regardless of whether vested or not, are excluded from the stock ownership calculation. Each Non-Employee Director’s or executive officer’s common stock ownership will be valued using the greater of (i) the closing price of our common stock on the Nasdaq Stock Market on the last trading day of the Company’s most recently completed fiscal year and (ii) the average of the closing prices of our common stock on all trading days during the Company’s most recently completed fiscal year.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Attendance at Annual Meetings of Stockholders</w:t>
      </w:r>
    </w:p>
    <w:p>
      <w:pPr>
        <w:spacing w:after="0" w:line="148" w:lineRule="exact"/>
        <w:rPr>
          <w:sz w:val="20"/>
          <w:szCs w:val="20"/>
          <w:color w:val="auto"/>
        </w:rPr>
      </w:pPr>
    </w:p>
    <w:p>
      <w:pPr>
        <w:jc w:val="both"/>
        <w:ind w:left="1260" w:right="959" w:firstLine="360"/>
        <w:spacing w:after="0" w:line="258" w:lineRule="auto"/>
        <w:rPr>
          <w:sz w:val="20"/>
          <w:szCs w:val="20"/>
          <w:color w:val="auto"/>
        </w:rPr>
      </w:pPr>
      <w:r>
        <w:rPr>
          <w:rFonts w:ascii="Times New Roman" w:cs="Times New Roman" w:eastAsia="Times New Roman" w:hAnsi="Times New Roman"/>
          <w:sz w:val="18"/>
          <w:szCs w:val="18"/>
          <w:color w:val="auto"/>
        </w:rPr>
        <w:t>The Company does not have a written policy regarding director attendance at annual meetings of stockholders, although directors are expected to attend these meetings absent unavoidable scheduling conflicts. Six members of the Board of Directors attended the 2025 Annual Meeting of Stockholders.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62" w:lineRule="exact"/>
        <w:rPr>
          <w:sz w:val="20"/>
          <w:szCs w:val="20"/>
          <w:color w:val="auto"/>
        </w:rPr>
      </w:pPr>
    </w:p>
    <w:p>
      <w:pPr>
        <w:ind w:left="1260" w:right="579" w:firstLine="360"/>
        <w:spacing w:after="0" w:line="241" w:lineRule="auto"/>
        <w:rPr>
          <w:sz w:val="20"/>
          <w:szCs w:val="20"/>
          <w:color w:val="auto"/>
        </w:rPr>
      </w:pPr>
      <w:r>
        <w:rPr>
          <w:rFonts w:ascii="Times New Roman" w:cs="Times New Roman" w:eastAsia="Times New Roman" w:hAnsi="Times New Roman"/>
          <w:sz w:val="18"/>
          <w:szCs w:val="18"/>
          <w:color w:val="auto"/>
        </w:rPr>
        <w:t>Any stockholder who wishes to contact our Board of Directors or an individual director may do so by writing to: Orange County Bancorp, Inc., 212 Dolson Avenue, Middletown, New York 10940, Attention: Board of Directors. The letter should indicate that the sender is a stockholder and, if shares are not held of record, should include appropriate evidence of stock ownership. Communications are reviewed by the Corporate Secretary and are then distributed to the Board of Directors or the individual director, as appropriate, depending on the facts and circumstances outlined in the communications received. The Corporate Secretary may attempt to handle an inquiry directly (for example, where it is a request for information about the Company or it is a stock-related matter). The Corporate Secretary has the authority not to forward a communication if it is primarily commercial in nature, relates to an improper or irrelevant topic, or is unduly hostile, threatening, illegal or otherwise inappropriate. At each Board of Directors meeting, the Corporate Secretary shall present a summary of all communications received since the last meeting that were not forwarded and make those communications available to the Directors on request.</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Meetings and Committees of the Board of Directors</w:t>
      </w:r>
    </w:p>
    <w:p>
      <w:pPr>
        <w:spacing w:after="0" w:line="148" w:lineRule="exact"/>
        <w:rPr>
          <w:sz w:val="20"/>
          <w:szCs w:val="20"/>
          <w:color w:val="auto"/>
        </w:rPr>
      </w:pPr>
    </w:p>
    <w:p>
      <w:pPr>
        <w:ind w:left="1260" w:right="779" w:firstLine="360"/>
        <w:spacing w:after="0" w:line="247" w:lineRule="auto"/>
        <w:rPr>
          <w:sz w:val="20"/>
          <w:szCs w:val="20"/>
          <w:color w:val="auto"/>
        </w:rPr>
      </w:pPr>
      <w:r>
        <w:rPr>
          <w:rFonts w:ascii="Times New Roman" w:cs="Times New Roman" w:eastAsia="Times New Roman" w:hAnsi="Times New Roman"/>
          <w:sz w:val="18"/>
          <w:szCs w:val="18"/>
          <w:color w:val="auto"/>
        </w:rPr>
        <w:t>The Company conducts business through meetings of its Board of Directors and its committees, including an Audit and Risk Committee, Compensation Committee, and Nominating and Corporate Governance Committee. Each of these committees operates under a written charter, which governs its composition, responsibilities and operations. The Board of Directors also may establish such other committees as it deems appropriate, in accordance with applicable law and regulations and its corporate governance documents.</w:t>
      </w:r>
    </w:p>
    <w:p>
      <w:pPr>
        <w:spacing w:after="0" w:line="11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2025, the Board of Directors of the Company held four regular meetings and three special meetings. No member of the Board of Directors or any committee thereof attended fewer than 75% of the aggregate of: (i) the total number of meetings of the Board of Directors (held during the period for which he or she has been a director); and (ii) the total number of meetings held by all committees on which he or she served (during the periods that he or she served).</w:t>
      </w:r>
    </w:p>
    <w:p>
      <w:pPr>
        <w:spacing w:after="0" w:line="11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Audit and Risk Committee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Audit and Risk Committee assists the Board of Directors in fulfilling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responsibilities for general oversight of the integrity of our financial statements, compliance with legal and regulatory requirements, the independent registered public accounting firm’s qualifications and independence, and the performance of our internal audit and risk assessment function and the independent registered public accounting firm. Our Board of Directors has adopted a written charter for the Audit and Risk Committee, which is available on our website at www.orangebanktrust.com under the </w:t>
      </w:r>
      <w:r>
        <w:rPr>
          <w:rFonts w:ascii="Times New Roman" w:cs="Times New Roman" w:eastAsia="Times New Roman" w:hAnsi="Times New Roman"/>
          <w:sz w:val="18"/>
          <w:szCs w:val="18"/>
          <w:i w:val="1"/>
          <w:iCs w:val="1"/>
          <w:color w:val="auto"/>
        </w:rPr>
        <w:t>About Us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Investor Relations — Corporate Governance </w:t>
      </w:r>
      <w:r>
        <w:rPr>
          <w:rFonts w:ascii="Times New Roman" w:cs="Times New Roman" w:eastAsia="Times New Roman" w:hAnsi="Times New Roman"/>
          <w:sz w:val="18"/>
          <w:szCs w:val="18"/>
          <w:color w:val="auto"/>
        </w:rPr>
        <w:t>tab. The Audit and Risk Committee:</w:t>
      </w:r>
    </w:p>
    <w:p>
      <w:pPr>
        <w:spacing w:after="0" w:line="71" w:lineRule="exact"/>
        <w:rPr>
          <w:sz w:val="20"/>
          <w:szCs w:val="20"/>
          <w:color w:val="auto"/>
        </w:rPr>
      </w:pPr>
    </w:p>
    <w:p>
      <w:pPr>
        <w:ind w:left="1800" w:right="4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evaluates and determines the compensation of our independent registered public accounting firm;</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audit fees and financial statements;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disclosure controls and procedures, internal controls, internal audit function and corporate policies with respect to financial information;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investigations into complaints concerning financial matters,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related party transactions as required;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the Audit and Risk Committee charter and the committee’s performance.</w:t>
      </w:r>
    </w:p>
    <w:p>
      <w:pPr>
        <w:spacing w:after="0" w:line="14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Audit and Risk Committee works closely with management as well as our independent registered public accounting firm. The Audit and Risk Committee has the authority to obtain advice and assistance from and receive appropriate funding to engage outside legal, accounting or other advisors as the Audit and Risk Committee deems necessary to carry out its duties.</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Audit and Risk Committee is comprised of Directors Rouis (Chair), Kennedy and Schiller, each of whom is “independent” in accordance with applicable Securities and Exchange Commission rules and Nasdaq listing standards. The Board of Directors has determined that Director Rouis qualifies as an “audit committee financial expert” as defined under applicable Securities and Exchange Commission rules. The Audit and Risk Committee met nine times during the year ended December 31, 2025.</w:t>
      </w:r>
    </w:p>
    <w:p>
      <w:pPr>
        <w:spacing w:after="0" w:line="106"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assists the Board of Directors in fulfilling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responsibilities relating to the compensation and benefits provided to the Company’s executive management and directors. Our Boards of Directors has adopted a written charter for the Compensation Committee, which is available on our website at www.orangebanktrust.com under the </w:t>
      </w:r>
      <w:r>
        <w:rPr>
          <w:rFonts w:ascii="Times New Roman" w:cs="Times New Roman" w:eastAsia="Times New Roman" w:hAnsi="Times New Roman"/>
          <w:sz w:val="18"/>
          <w:szCs w:val="18"/>
          <w:i w:val="1"/>
          <w:iCs w:val="1"/>
          <w:color w:val="auto"/>
        </w:rPr>
        <w:t>About Us — Investor Relations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Corporate Governance </w:t>
      </w:r>
      <w:r>
        <w:rPr>
          <w:rFonts w:ascii="Times New Roman" w:cs="Times New Roman" w:eastAsia="Times New Roman" w:hAnsi="Times New Roman"/>
          <w:sz w:val="18"/>
          <w:szCs w:val="18"/>
          <w:color w:val="auto"/>
        </w:rPr>
        <w:t>tab. The Compensation Committee:</w:t>
      </w:r>
    </w:p>
    <w:p>
      <w:pPr>
        <w:spacing w:after="0" w:line="73"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implements and reviews our compensation philosophy;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objectives relevant to executive officer compensation;</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performance and determines the compensation of the Chief Executive Officer and other executive officers in accordance with those objectives;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oversees compensation and benefit plans, including determining awards under various benefit plans;</w:t>
      </w:r>
    </w:p>
    <w:p>
      <w:pPr>
        <w:spacing w:after="0" w:line="4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the Nominating and Corporate Governance Committee, reviews, evaluates and determines compensation for non-employee directors;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the Compensation Committee charter;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 succession plan for executive officers, including the Chief Executive Officer.</w:t>
      </w:r>
    </w:p>
    <w:p>
      <w:pPr>
        <w:spacing w:after="0" w:line="15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Compensation Committee has the responsibility for overseeing potential risks in the incentive</w:t>
      </w:r>
    </w:p>
    <w:p>
      <w:pPr>
        <w:spacing w:after="0" w:line="16"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compensation arrangements maintained by the Company, the Bank and OIA. The Compensation Committee has the authority to conduct a review, at least annually, of the compensation arrangements and practices to ensure they do not motivate or incent unnecessary or excessive risk. The Compensation Committee received a report from senior management on its review of the incentive compensation arrangements and practices of the Company, the Bank and OIA and concluded that the incentive compensation arrangements and practices do not encourage inappropriate risk taking.</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Upon request from the Compensation Committee, the Chief Executive Officer and the Chief Human Resources Officer provide data, analyses, input and recommendations to the Compensation Committee on executive and director compensation. The Compensation Committee considers our Chief Executive Officer’s performance evaluation of each named executive officer’s performance and recommendation of appropriate total compensation. However, our Chief Executive Officer does not participate in any decisions relating to his own compensation and is not present during any Compensation Committee or Board of Directors deliberations or voting with respect to his total compensation. The Compensation Committee may form and delegate authority and duties to subcommittees for non-executive officers as it deems appropriate.</w:t>
      </w:r>
    </w:p>
    <w:p>
      <w:pPr>
        <w:spacing w:after="0" w:line="119"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During 2025, the Compensation Committee retained the services of AON, an independent compensation consultant, to review the Company’s Executive Compensation Program which includes salary, annual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incentive, and long-term incentive plans for our executive officers and also to review the non-employee director compensation. AON developed a peer group of financial institutions for the Compensation Committee to review and approve and then obtained the compensation data from these peer financial institutions. The Company’s peer banks are located near the New York City Metropolitan area and range in asset size between $1.5 billion and $5.0 billion. While the Compensation Committee considered input from AON when making compensation decisions, the Compensation Committee’s final compensation decisions reflect many factors and considerations.</w:t>
      </w:r>
    </w:p>
    <w:p>
      <w:pPr>
        <w:spacing w:after="0" w:line="325"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is currently comprised of Directors Keane (Chair), Holcombe and Rowley, each of whom is “independent” in accordance with applicable Securities and Exchange Commission rules and Nasdaq listing standards. The Compensation Committee met five times during the year ended December 31, 2025.</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The Nominating and Corporate Governance</w:t>
      </w:r>
    </w:p>
    <w:p>
      <w:pPr>
        <w:spacing w:after="0" w:line="31"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 xml:space="preserve">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guidelines and reporting and making recommendations to our Board of Directors concerning governance matters. Our Board of Directors has adopted a written charter for the Nominating and Corporate Governance Committee, which is available on our website at www.orangebanktrust.com under the </w:t>
      </w:r>
      <w:r>
        <w:rPr>
          <w:rFonts w:ascii="Times New Roman" w:cs="Times New Roman" w:eastAsia="Times New Roman" w:hAnsi="Times New Roman"/>
          <w:sz w:val="18"/>
          <w:szCs w:val="18"/>
          <w:i w:val="1"/>
          <w:iCs w:val="1"/>
          <w:color w:val="auto"/>
        </w:rPr>
        <w:t>About Us — Investor Relations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Corporate Governance </w:t>
      </w:r>
      <w:r>
        <w:rPr>
          <w:rFonts w:ascii="Times New Roman" w:cs="Times New Roman" w:eastAsia="Times New Roman" w:hAnsi="Times New Roman"/>
          <w:sz w:val="18"/>
          <w:szCs w:val="18"/>
          <w:color w:val="auto"/>
        </w:rPr>
        <w:t>tab. The Nominating and Corporate Governance Committee:</w:t>
      </w:r>
    </w:p>
    <w:p>
      <w:pPr>
        <w:spacing w:after="0" w:line="79" w:lineRule="exact"/>
        <w:rPr>
          <w:sz w:val="20"/>
          <w:szCs w:val="20"/>
          <w:color w:val="auto"/>
        </w:rPr>
      </w:pPr>
    </w:p>
    <w:p>
      <w:pPr>
        <w:ind w:left="1800" w:right="6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qualified individuals to be directors consistent with the criteria approved by the Board of Directors and recommending director nominees to the full Board of Directors;</w:t>
      </w:r>
    </w:p>
    <w:p>
      <w:pPr>
        <w:spacing w:after="0" w:line="40"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structure of the committees of the Board of Directors and recommends to the Board of Directors for its approval directors to serve as members of each committee;</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and recommends procedures for reviewing stockholder recommendations for director nominees;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the Company’s code of business conduct and ethics;</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monitors the Board of Director’s compliance with applicable Securities and Exchange Commission regulations and listing standards for independence;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leads the Board of Directors in its annual performance review;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and recommends corporate governance guidelines; and</w:t>
      </w:r>
    </w:p>
    <w:p>
      <w:pPr>
        <w:spacing w:after="0" w:line="117" w:lineRule="exact"/>
        <w:rPr>
          <w:rFonts w:ascii="Times New Roman" w:cs="Times New Roman" w:eastAsia="Times New Roman" w:hAnsi="Times New Roman"/>
          <w:sz w:val="18"/>
          <w:szCs w:val="18"/>
          <w:color w:val="auto"/>
        </w:rPr>
      </w:pPr>
    </w:p>
    <w:p>
      <w:pPr>
        <w:ind w:left="1800" w:right="13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the Nominating and Corporate Governance Committee’s charter and the committee’s performance.</w:t>
      </w:r>
    </w:p>
    <w:p>
      <w:pPr>
        <w:spacing w:after="0" w:line="81"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is comprised of Directors Kennedy (Chair), Morrison, Rouis and Rowley each of whom is “independent” in accordance with applicable Securities and Exchange Commission rules and Nasdaq listing standards. The Nominating and Corporate Governance Committee met four times during the year ended December 31, 2025.</w:t>
      </w:r>
    </w:p>
    <w:p>
      <w:pPr>
        <w:spacing w:after="0" w:line="106"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Criteria for Director Nominees. </w:t>
      </w:r>
      <w:r>
        <w:rPr>
          <w:rFonts w:ascii="Times New Roman" w:cs="Times New Roman" w:eastAsia="Times New Roman" w:hAnsi="Times New Roman"/>
          <w:sz w:val="18"/>
          <w:szCs w:val="18"/>
          <w:color w:val="auto"/>
        </w:rPr>
        <w:t>A candidate must meet the eligibility requirements set forth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Bylaws, which include an age limitation provision, a stock ownership requirement, and a requirement that the candidate must not have been subject to certain criminal or regulatory actions. A candidate also must meet any qualification requirements set forth in any applicable policies or governing documents of the Board of Directors and, if such candidate is intended to serve on any committee of such committee.</w:t>
      </w:r>
    </w:p>
    <w:p>
      <w:pPr>
        <w:spacing w:after="0" w:line="11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Board of Directors has adopted a set of criteria that it considers when it selects individuals to be nominated for election to the Board of Directors. If a candidate is deemed eligible for election to the Board of Directors, the Board of Directors will then evaluate the following criteria in selecting nominees:</w:t>
      </w:r>
    </w:p>
    <w:p>
      <w:pPr>
        <w:spacing w:after="0" w:line="69"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the range of talent, skill and expertise of the Board of Directors;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regulatory and business experience, knowledge of the banking and financial service industries, familiarity with the operations of public companies and ability to read and understand financial statements, and legal or real estate experience;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5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with our market area and participation in and ties to local businesses and local civic, charitable and religious organizations;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 honesty and reputation;</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represent the best interests of our stockholders and the best interests of the Company; and</w:t>
      </w:r>
    </w:p>
    <w:p>
      <w:pPr>
        <w:spacing w:after="0" w:line="314"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independence, as that term is defined under applicable Securities and Exchange Commission and applicable stock exchange listing criteria.</w:t>
      </w:r>
    </w:p>
    <w:p>
      <w:pPr>
        <w:spacing w:after="0" w:line="9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Board of Directors also will consider any other factors it deems relevant, including the current composition and size of the Board of Directors, the balance of management and independent directors, and the need for Audit and Risk Committee expertise.</w:t>
      </w:r>
    </w:p>
    <w:p>
      <w:pPr>
        <w:spacing w:after="0" w:line="10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When nominating an existing director for re-election to the Board of Directors, the Board of Directors will consider and review an existing director’s attendance and performance at Board meetings and at meetings of committees on which he or she serves; length of Board service; the experience, skills and contributions that the existing director brings to the Board; and independence.</w:t>
      </w:r>
    </w:p>
    <w:p>
      <w:pPr>
        <w:spacing w:after="0" w:line="106" w:lineRule="exact"/>
        <w:rPr>
          <w:sz w:val="20"/>
          <w:szCs w:val="20"/>
          <w:color w:val="auto"/>
        </w:rPr>
      </w:pPr>
    </w:p>
    <w:p>
      <w:pPr>
        <w:ind w:left="1260" w:right="81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Nominating Procedures. </w:t>
      </w:r>
      <w:r>
        <w:rPr>
          <w:rFonts w:ascii="Times New Roman" w:cs="Times New Roman" w:eastAsia="Times New Roman" w:hAnsi="Times New Roman"/>
          <w:sz w:val="18"/>
          <w:szCs w:val="18"/>
          <w:color w:val="auto"/>
        </w:rPr>
        <w:t>The Board of Directors may consider qualified candidates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suggested by our stockholders. Stockholders can suggest qualified candidates for director by writing to our Corporate Secretary at 212 Dolson Avenue, Middletown, New York 10940. The Board of Directors has adopted a procedure by which stockholders may recommend nominees to the Board of Directors. Stockholders who wish to recommend a nominee must write to the Company’s Corporate Secretary and such communication must include:</w:t>
      </w:r>
    </w:p>
    <w:p>
      <w:pPr>
        <w:spacing w:after="0" w:line="71" w:lineRule="exact"/>
        <w:rPr>
          <w:sz w:val="20"/>
          <w:szCs w:val="20"/>
          <w:color w:val="auto"/>
        </w:rPr>
      </w:pPr>
    </w:p>
    <w:p>
      <w:pPr>
        <w:ind w:left="1800" w:right="7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writer is a stockholder and is proposing a candidate for consideration by the Board of Directors;</w:t>
      </w:r>
    </w:p>
    <w:p>
      <w:pPr>
        <w:spacing w:after="0" w:line="5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as they appear on the Company’s books, and of the beneficial owner, if any, on whose behalf the nomination is made;</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the Company’s capital stock that are owned beneficially or of record by such stockholder and such beneficial owner;</w:t>
      </w:r>
    </w:p>
    <w:p>
      <w:pPr>
        <w:spacing w:after="0" w:line="53"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such stockholder and each proposed nominee and any other person or persons (including their names) pursuant to which the nomination(s) are to be made by such stockholder;</w:t>
      </w:r>
    </w:p>
    <w:p>
      <w:pPr>
        <w:spacing w:after="0" w:line="54"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such stockholder intends to appear in person or by proxy at the meeting to nominate the nominee named in the stockholder’s notice;</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personal and business address of the candidate and the principal occupation or employment of the candidate;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candidate’s written consent to serve as a director;</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the candidate’s business and educational experience and all other information relating to such person that would indicate such person’s qualification to serve on the Company’s Board of Directors; and</w:t>
      </w:r>
    </w:p>
    <w:p>
      <w:pPr>
        <w:spacing w:after="0" w:line="67" w:lineRule="exact"/>
        <w:rPr>
          <w:rFonts w:ascii="Times New Roman" w:cs="Times New Roman" w:eastAsia="Times New Roman" w:hAnsi="Times New Roman"/>
          <w:sz w:val="18"/>
          <w:szCs w:val="18"/>
          <w:color w:val="auto"/>
        </w:rPr>
      </w:pPr>
    </w:p>
    <w:p>
      <w:pPr>
        <w:jc w:val="both"/>
        <w:ind w:left="1800" w:right="101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regarding the candidate or the stockholder as would be required to be included in the Company’s proxy statement pursuant to Securities and Exchange Commission Regulation 14A.</w:t>
      </w:r>
    </w:p>
    <w:p>
      <w:pPr>
        <w:spacing w:after="0" w:line="10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To be timely, the submission of a candidate for director by a stockholder must be received by the Corporate Secretary at least 120 days prior to the anniversary date of the proxy statement relating to the preceding year’s annual meeting of stockholders. If (i) less than 90 days’ prior public disclosure of the date of the meeting is given to stockholders and (ii) the date of the annual meeting is advanced more than</w:t>
      </w:r>
    </w:p>
    <w:p>
      <w:pPr>
        <w:spacing w:after="0" w:line="3"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30 days prior to or delayed more than 30 days after the anniversary of the preceding year’s annual meeting, a stockholder’s submission of a candidate shall be timely if delivered or mailed to and received by the Corporate Secretary of the Company no later than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public disclosure (by press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release issued through a nationally recognized news service, a document filed with the Securities and Exchange Commission, or on a website maintained by the Company) of the date of the annual meeting is first made.</w:t>
      </w:r>
    </w:p>
    <w:p>
      <w:pPr>
        <w:spacing w:after="0" w:line="10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Submissions that are received and that satisfy the above requirements are forwarded to the Board of Directors for further review and consideration, using the same criteria to evaluate the candidate as it uses for evaluating other candidates that it considers.</w:t>
      </w:r>
    </w:p>
    <w:p>
      <w:pPr>
        <w:spacing w:after="0" w:line="61" w:lineRule="exact"/>
        <w:rPr>
          <w:sz w:val="20"/>
          <w:szCs w:val="20"/>
          <w:color w:val="auto"/>
        </w:rPr>
      </w:pPr>
    </w:p>
    <w:p>
      <w:pPr>
        <w:ind w:left="1800" w:right="559" w:hanging="180"/>
        <w:spacing w:after="0" w:line="258"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is a difference between the recommendations of nominees by stockholders pursuant to this policy and a formal nomination (whether by proxy solicitation or in person at a meeting) by a stockholder. Stockholders have certain rights under applicable law with respect to nominations, and any such nominations must comply with applicable law and provisions of the Bylaws of the Company. See </w:t>
      </w:r>
      <w:r>
        <w:rPr>
          <w:rFonts w:ascii="Times New Roman" w:cs="Times New Roman" w:eastAsia="Times New Roman" w:hAnsi="Times New Roman"/>
          <w:sz w:val="18"/>
          <w:szCs w:val="18"/>
          <w:i w:val="1"/>
          <w:iCs w:val="1"/>
          <w:color w:val="auto"/>
        </w:rPr>
        <w:t>“Stockholder Proposals and Nominations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and Risk Committee Report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and Risk Committee has issued a report that states as follows:</w:t>
      </w:r>
    </w:p>
    <w:p>
      <w:pPr>
        <w:spacing w:after="0" w:line="117" w:lineRule="exact"/>
        <w:rPr>
          <w:sz w:val="20"/>
          <w:szCs w:val="20"/>
          <w:color w:val="auto"/>
        </w:rPr>
      </w:pPr>
    </w:p>
    <w:p>
      <w:pPr>
        <w:ind w:left="1800" w:right="49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reviewed and discussed with management our audited consolidated financial statements for the year ended December 31, 2025.</w:t>
      </w:r>
    </w:p>
    <w:p>
      <w:pPr>
        <w:spacing w:after="0" w:line="40"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discussed with the independent registered public accounting firm the matters required to be discussed by the applicable requirements of the Public Company Accounting Oversight Board (“PCAOB”) and the Securities and Exchange Commission.</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the written disclosures and the letter from the independent registered public accounting firm required by the applicable requirements of PCAOB regarding the independent accountant’s communications with the Audit and Risk Committee concerning independence and have discussed with the independent registered public accounting firm their independence.</w:t>
      </w:r>
    </w:p>
    <w:p>
      <w:pPr>
        <w:spacing w:after="0" w:line="11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and Risk Committee recommended to the Board of Directors that the audited consolidated financial statements be included in our Annual Report on Form 10-K for the year ended December 31, 2025 for filing with the Securities and Exchange Commission.</w:t>
      </w:r>
    </w:p>
    <w:p>
      <w:pPr>
        <w:spacing w:after="0" w:line="323"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This report shall not be deemed incorporated by reference by any general statement incorporating by reference this proxy statement into any filing under the Securities Act of 1933, as amended, or the Securities Exchange Act of 1934, as amended, except to the extent that the Company specifically incorporates this information by reference and shall not otherwise be deemed filed under such Acts.</w:t>
      </w:r>
    </w:p>
    <w:p>
      <w:pPr>
        <w:spacing w:after="0" w:line="11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This report has been provided by the Audit and Risk Committee:</w:t>
      </w:r>
    </w:p>
    <w:p>
      <w:pPr>
        <w:spacing w:after="0" w:line="1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Jonathan F. Rouis, Chair</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Marianna R. Kennedy</w:t>
      </w:r>
    </w:p>
    <w:p>
      <w:pPr>
        <w:ind w:left="4720"/>
        <w:spacing w:after="0"/>
        <w:rPr>
          <w:sz w:val="20"/>
          <w:szCs w:val="20"/>
          <w:color w:val="auto"/>
        </w:rPr>
      </w:pPr>
      <w:r>
        <w:rPr>
          <w:rFonts w:ascii="Times New Roman" w:cs="Times New Roman" w:eastAsia="Times New Roman" w:hAnsi="Times New Roman"/>
          <w:sz w:val="18"/>
          <w:szCs w:val="18"/>
          <w:color w:val="auto"/>
        </w:rPr>
        <w:t>Jonathan Schiller</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With Certain Related Persons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Federal law generally prohibits publicly traded companies from making loans to their executive officers and directors, but it contains a specific exemption from the prohibition for loans made by federally insured financial institutions, such as the Bank, to their executive officers and directors in compliance with federal banking regulations. At December 31, 2025, all of our loans to directors and executive officers were made in the ordinary course of business, were made on substantially the same terms, including interest rates and collateral, as those prevailing at the time for comparable loans with persons not related to the Bank, and did not involve more than the normal risk of collectability or present other unfavorable features. These loans were performing according to their original repayment terms at December 31, 2025, and were made in compliance with federal banking regulations.</w:t>
      </w:r>
    </w:p>
    <w:p>
      <w:pPr>
        <w:spacing w:after="0" w:line="12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Other than the loans described above, the Bank has not entered into any transactions since January 1, 2025 in which the amount involved exceeded $120,000 and in which any related persons had or will have a direct or indirect material interest.</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our Policy and Procedures for Approval of Related Person Transactions, the Audit and Risk Committee periodically reviews, no less frequently than twice a year, a summary of transactions in excess of $25,000 with our directors, executive officers, and their family members, for the purpose of determining whether the transactions are within our policies and should be ratified and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Summary Compensation Table</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certain information as to the total remuneration paid by the Company to our President and Chief Executive Officer, Michael J. Gilfeather, and our two other most highly compensated executive officers for the year ended December 31, 2025. Each individual listed in the table below is referred to as a “named executive officer.”</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Nonqualified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All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Comp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7"/>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9"/>
                <w:szCs w:val="19"/>
                <w:color w:val="auto"/>
              </w:rPr>
            </w:pPr>
          </w:p>
        </w:tc>
        <w:tc>
          <w:tcPr>
            <w:tcW w:w="380" w:type="dxa"/>
            <w:vAlign w:val="bottom"/>
          </w:tcPr>
          <w:p>
            <w:pP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Year</w:t>
            </w:r>
          </w:p>
        </w:tc>
        <w:tc>
          <w:tcPr>
            <w:tcW w:w="68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(5)</w:t>
            </w:r>
          </w:p>
        </w:tc>
        <w:tc>
          <w:tcPr>
            <w:tcW w:w="200" w:type="dxa"/>
            <w:vAlign w:val="bottom"/>
            <w:gridSpan w:val="2"/>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Gilfeather</w:t>
            </w:r>
          </w:p>
        </w:tc>
        <w:tc>
          <w:tcPr>
            <w:tcW w:w="80" w:type="dxa"/>
            <w:vAlign w:val="bottom"/>
            <w:tcBorders>
              <w:right w:val="single" w:sz="8" w:color="CCEEFF"/>
            </w:tcBorders>
          </w:tcPr>
          <w:p>
            <w:pPr>
              <w:spacing w:after="0"/>
              <w:rPr>
                <w:sz w:val="23"/>
                <w:szCs w:val="23"/>
                <w:color w:val="auto"/>
              </w:rPr>
            </w:pPr>
          </w:p>
        </w:tc>
        <w:tc>
          <w:tcPr>
            <w:tcW w:w="3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680" w:type="dxa"/>
            <w:vAlign w:val="bottom"/>
            <w:tcBorders>
              <w:bottom w:val="single" w:sz="8" w:color="CCEEFF"/>
            </w:tcBorders>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700,000</w:t>
            </w:r>
          </w:p>
        </w:tc>
        <w:tc>
          <w:tcPr>
            <w:tcW w:w="1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right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609,001</w:t>
            </w:r>
          </w:p>
        </w:tc>
        <w:tc>
          <w:tcPr>
            <w:tcW w:w="12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right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450,000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right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right w:val="single" w:sz="8" w:color="CCEEFF"/>
            </w:tcBorders>
            <w:shd w:val="clear" w:color="auto" w:fill="CCEEFF"/>
          </w:tcPr>
          <w:p>
            <w:pPr>
              <w:jc w:val="center"/>
              <w:ind w:right="18"/>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333,481</w:t>
            </w:r>
          </w:p>
        </w:tc>
        <w:tc>
          <w:tcPr>
            <w:tcW w:w="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2,092,482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00" w:type="dxa"/>
            <w:vAlign w:val="bottom"/>
            <w:gridSpan w:val="3"/>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President, Chief</w:t>
            </w: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​​2024</w:t>
            </w:r>
          </w:p>
        </w:tc>
        <w:tc>
          <w:tcPr>
            <w:tcW w:w="6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​​​670,000</w:t>
            </w:r>
          </w:p>
        </w:tc>
        <w:tc>
          <w:tcPr>
            <w:tcW w:w="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280"/>
              <w:spacing w:after="0" w:line="189" w:lineRule="exact"/>
              <w:rPr>
                <w:sz w:val="20"/>
                <w:szCs w:val="20"/>
                <w:color w:val="auto"/>
              </w:rPr>
            </w:pPr>
            <w:r>
              <w:rPr>
                <w:rFonts w:ascii="Times New Roman" w:cs="Times New Roman" w:eastAsia="Times New Roman" w:hAnsi="Times New Roman"/>
                <w:sz w:val="18"/>
                <w:szCs w:val="18"/>
                <w:color w:val="auto"/>
              </w:rPr>
              <w:t>― ​ ​523,966</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​350,000</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right="18"/>
              <w:spacing w:after="0" w:line="189" w:lineRule="exact"/>
              <w:rPr>
                <w:sz w:val="20"/>
                <w:szCs w:val="20"/>
                <w:color w:val="auto"/>
              </w:rPr>
            </w:pPr>
            <w:r>
              <w:rPr>
                <w:rFonts w:ascii="Times New Roman" w:cs="Times New Roman" w:eastAsia="Times New Roman" w:hAnsi="Times New Roman"/>
                <w:sz w:val="18"/>
                <w:szCs w:val="18"/>
                <w:color w:val="auto"/>
              </w:rPr>
              <w:t>​348,803</w:t>
            </w:r>
          </w:p>
        </w:tc>
        <w:tc>
          <w:tcPr>
            <w:tcW w:w="8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 ​1,892,769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00" w:type="dxa"/>
            <w:vAlign w:val="bottom"/>
            <w:gridSpan w:val="3"/>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Executive Officer and</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 of the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1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Company and the Bank</w:t>
            </w:r>
          </w:p>
        </w:tc>
        <w:tc>
          <w:tcPr>
            <w:tcW w:w="380" w:type="dxa"/>
            <w:vAlign w:val="bottom"/>
            <w:vMerge w:val="restart"/>
          </w:tcPr>
          <w:p>
            <w:pPr>
              <w:spacing w:after="0"/>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2025</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355,350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144,908</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200,000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5"/>
              </w:rPr>
              <w:t>​</w:t>
            </w:r>
            <w:r>
              <w:rPr>
                <w:rFonts w:ascii="Times New Roman" w:cs="Times New Roman" w:eastAsia="Times New Roman" w:hAnsi="Times New Roman"/>
                <w:sz w:val="35"/>
                <w:szCs w:val="35"/>
                <w:color w:val="auto"/>
                <w:w w:val="85"/>
                <w:vertAlign w:val="subscript"/>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center"/>
              <w:ind w:right="18"/>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103,244</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A. Ruhl</w:t>
            </w:r>
          </w:p>
        </w:tc>
        <w:tc>
          <w:tcPr>
            <w:tcW w:w="380" w:type="dxa"/>
            <w:vAlign w:val="bottom"/>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1220" w:type="dxa"/>
            <w:vAlign w:val="bottom"/>
            <w:gridSpan w:val="3"/>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803,502</w:t>
            </w:r>
          </w:p>
        </w:tc>
        <w:tc>
          <w:tcPr>
            <w:tcW w:w="0" w:type="dxa"/>
            <w:vAlign w:val="bottom"/>
          </w:tcPr>
          <w:p>
            <w:pPr>
              <w:spacing w:after="0"/>
              <w:rPr>
                <w:sz w:val="1"/>
                <w:szCs w:val="1"/>
                <w:color w:val="auto"/>
              </w:rPr>
            </w:pPr>
          </w:p>
        </w:tc>
      </w:tr>
      <w:tr>
        <w:trPr>
          <w:trHeight w:val="236"/>
        </w:trPr>
        <w:tc>
          <w:tcPr>
            <w:tcW w:w="21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​​​345,000</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 ​125,642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8"/>
                <w:szCs w:val="18"/>
                <w:color w:val="auto"/>
              </w:rPr>
              <w:t>​102,690</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753,332</w:t>
            </w:r>
          </w:p>
        </w:tc>
        <w:tc>
          <w:tcPr>
            <w:tcW w:w="0" w:type="dxa"/>
            <w:vAlign w:val="bottom"/>
          </w:tcPr>
          <w:p>
            <w:pPr>
              <w:spacing w:after="0"/>
              <w:rPr>
                <w:sz w:val="1"/>
                <w:szCs w:val="1"/>
                <w:color w:val="auto"/>
              </w:rPr>
            </w:pPr>
          </w:p>
        </w:tc>
      </w:tr>
      <w:tr>
        <w:trPr>
          <w:trHeight w:val="196"/>
        </w:trPr>
        <w:tc>
          <w:tcPr>
            <w:tcW w:w="2100" w:type="dxa"/>
            <w:vAlign w:val="bottom"/>
            <w:gridSpan w:val="3"/>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President and Regional</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of the Bank</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Michael Lesler</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(3)</w:t>
            </w:r>
          </w:p>
        </w:tc>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​​​350,200</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w w:val="71"/>
              </w:rPr>
              <w:t>(4)</w:t>
            </w:r>
          </w:p>
        </w:tc>
        <w:tc>
          <w:tcPr>
            <w:tcW w:w="62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​180,000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center"/>
              <w:ind w:right="18"/>
              <w:spacing w:after="0"/>
              <w:rPr>
                <w:sz w:val="20"/>
                <w:szCs w:val="20"/>
                <w:color w:val="auto"/>
              </w:rPr>
            </w:pPr>
            <w:r>
              <w:rPr>
                <w:rFonts w:ascii="Times New Roman" w:cs="Times New Roman" w:eastAsia="Times New Roman" w:hAnsi="Times New Roman"/>
                <w:sz w:val="18"/>
                <w:szCs w:val="18"/>
                <w:color w:val="auto"/>
              </w:rPr>
              <w:t>​ 59,602</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782,610</w:t>
            </w:r>
          </w:p>
        </w:tc>
        <w:tc>
          <w:tcPr>
            <w:tcW w:w="0" w:type="dxa"/>
            <w:vAlign w:val="bottom"/>
          </w:tcPr>
          <w:p>
            <w:pPr>
              <w:spacing w:after="0"/>
              <w:rPr>
                <w:sz w:val="1"/>
                <w:szCs w:val="1"/>
                <w:color w:val="auto"/>
              </w:rPr>
            </w:pPr>
          </w:p>
        </w:tc>
      </w:tr>
      <w:tr>
        <w:trPr>
          <w:trHeight w:val="150"/>
        </w:trPr>
        <w:tc>
          <w:tcPr>
            <w:tcW w:w="114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360" w:type="dxa"/>
            <w:vAlign w:val="bottom"/>
            <w:gridSpan w:val="4"/>
          </w:tcPr>
          <w:p>
            <w:pPr>
              <w:ind w:left="20"/>
              <w:spacing w:after="0" w:line="150" w:lineRule="exact"/>
              <w:rPr>
                <w:sz w:val="20"/>
                <w:szCs w:val="20"/>
                <w:color w:val="auto"/>
              </w:rPr>
            </w:pPr>
            <w:r>
              <w:rPr>
                <w:rFonts w:ascii="Times New Roman" w:cs="Times New Roman" w:eastAsia="Times New Roman" w:hAnsi="Times New Roman"/>
                <w:sz w:val="17"/>
                <w:szCs w:val="17"/>
                <w:color w:val="auto"/>
              </w:rPr>
              <w:t>​​​50,000 ​ ​142,808</w:t>
            </w:r>
          </w:p>
        </w:tc>
        <w:tc>
          <w:tcPr>
            <w:tcW w:w="12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-1509395</wp:posOffset>
            </wp:positionV>
            <wp:extent cx="5212080" cy="2305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230568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i w:val="1"/>
          <w:iCs w:val="1"/>
          <w:color w:val="auto"/>
        </w:rPr>
        <w:t>Executive Vice</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President, Chief</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Financial Officer of the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Company and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391795</wp:posOffset>
            </wp:positionV>
            <wp:extent cx="12344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539" w:hanging="360"/>
        <w:spacing w:after="0" w:line="25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awards reported in 2025 reflect the grant date fair value of the restricted stock unit awards under Accounting Standards Codification (ASC) Topic 718. Restrictions on the restricted stock unit awards lapse at the rate of 33% per year. The assumptions used to determine the value of stock awards are described in Note 1 to the Notes to the Consolidated Financial Statements in the Annual Report on Form 10-K. See also </w:t>
      </w:r>
      <w:r>
        <w:rPr>
          <w:rFonts w:ascii="Times New Roman" w:cs="Times New Roman" w:eastAsia="Times New Roman" w:hAnsi="Times New Roman"/>
          <w:sz w:val="18"/>
          <w:szCs w:val="18"/>
          <w:i w:val="1"/>
          <w:iCs w:val="1"/>
          <w:color w:val="auto"/>
        </w:rPr>
        <w:t>“— Incentive Compensation Plans — Equity-Based Long-Term Incentives”</w:t>
      </w:r>
      <w:r>
        <w:rPr>
          <w:rFonts w:ascii="Times New Roman" w:cs="Times New Roman" w:eastAsia="Times New Roman" w:hAnsi="Times New Roman"/>
          <w:sz w:val="18"/>
          <w:szCs w:val="18"/>
          <w:color w:val="auto"/>
        </w:rPr>
        <w:t xml:space="preserve"> for additional information on the restricted stock unit awards.</w:t>
      </w:r>
    </w:p>
    <w:p>
      <w:pPr>
        <w:spacing w:after="0" w:line="25" w:lineRule="exact"/>
        <w:rPr>
          <w:rFonts w:ascii="Times New Roman" w:cs="Times New Roman" w:eastAsia="Times New Roman" w:hAnsi="Times New Roman"/>
          <w:sz w:val="18"/>
          <w:szCs w:val="18"/>
          <w:color w:val="auto"/>
        </w:rPr>
      </w:pPr>
    </w:p>
    <w:p>
      <w:pPr>
        <w:ind w:left="1620" w:right="75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cash payments earned under the Annual Incentive Plan by each named executive officer during each year indicated. See </w:t>
      </w:r>
      <w:r>
        <w:rPr>
          <w:rFonts w:ascii="Times New Roman" w:cs="Times New Roman" w:eastAsia="Times New Roman" w:hAnsi="Times New Roman"/>
          <w:sz w:val="18"/>
          <w:szCs w:val="18"/>
          <w:i w:val="1"/>
          <w:iCs w:val="1"/>
          <w:color w:val="auto"/>
        </w:rPr>
        <w:t>“— Incentive Compensation Plans — Cash-Based Short-Term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Incentives” </w:t>
      </w:r>
      <w:r>
        <w:rPr>
          <w:rFonts w:ascii="Times New Roman" w:cs="Times New Roman" w:eastAsia="Times New Roman" w:hAnsi="Times New Roman"/>
          <w:sz w:val="18"/>
          <w:szCs w:val="18"/>
          <w:color w:val="auto"/>
        </w:rPr>
        <w:t>for a detailed description of the Annual Incentive Plan.</w:t>
      </w:r>
    </w:p>
    <w:p>
      <w:pPr>
        <w:spacing w:after="0" w:line="13" w:lineRule="exact"/>
        <w:rPr>
          <w:rFonts w:ascii="Times New Roman" w:cs="Times New Roman" w:eastAsia="Times New Roman" w:hAnsi="Times New Roman"/>
          <w:sz w:val="18"/>
          <w:szCs w:val="18"/>
          <w:color w:val="auto"/>
        </w:rPr>
      </w:pPr>
    </w:p>
    <w:p>
      <w:pPr>
        <w:ind w:left="1620" w:right="839" w:hanging="360"/>
        <w:spacing w:after="0" w:line="281"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Lesler became a named executive officer for the first time in 2025 and, pursuant to SEC rules, compensation for prior years is not required to be reported.</w:t>
      </w:r>
    </w:p>
    <w:p>
      <w:pPr>
        <w:spacing w:after="0" w:line="1" w:lineRule="exact"/>
        <w:rPr>
          <w:rFonts w:ascii="Times New Roman" w:cs="Times New Roman" w:eastAsia="Times New Roman" w:hAnsi="Times New Roman"/>
          <w:sz w:val="18"/>
          <w:szCs w:val="18"/>
          <w:color w:val="auto"/>
        </w:rPr>
      </w:pPr>
    </w:p>
    <w:p>
      <w:pPr>
        <w:ind w:left="1620" w:right="619" w:hanging="360"/>
        <w:spacing w:after="0" w:line="275"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bonus awarded in recognition of Mr. Lesler’s dedicated work and execution of 2025 capital initiatives, including the successful capital raise and refinance of the Company’s subordinated debt.</w:t>
      </w:r>
    </w:p>
    <w:p>
      <w:pPr>
        <w:spacing w:after="0" w:line="227"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all other compensation not reported in prior columns in this table, including perquisites, the aggregate value of which exceeds $10,000. This column consists of the following payments in 2025:</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Perquisites</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Life Insurance</w:t>
            </w:r>
          </w:p>
        </w:tc>
        <w:tc>
          <w:tcPr>
            <w:tcW w:w="22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401(k)</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SERP</w:t>
            </w:r>
          </w:p>
        </w:tc>
        <w:tc>
          <w:tcPr>
            <w:tcW w:w="2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(a)</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Pr>
          <w:p>
            <w:pPr>
              <w:spacing w:after="0"/>
              <w:rPr>
                <w:sz w:val="18"/>
                <w:szCs w:val="18"/>
                <w:color w:val="auto"/>
              </w:rPr>
            </w:pPr>
          </w:p>
        </w:tc>
        <w:tc>
          <w:tcPr>
            <w:tcW w:w="6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7"/>
                <w:szCs w:val="17"/>
                <w:b w:val="1"/>
                <w:bCs w:val="1"/>
                <w:color w:val="auto"/>
                <w:w w:val="92"/>
                <w:vertAlign w:val="superscript"/>
              </w:rPr>
              <w:t>(b)</w:t>
            </w:r>
          </w:p>
        </w:tc>
        <w:tc>
          <w:tcPr>
            <w:tcW w:w="7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(c)</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6"/>
              </w:rPr>
              <w:t>($)</w:t>
            </w:r>
            <w:r>
              <w:rPr>
                <w:rFonts w:ascii="Times New Roman" w:cs="Times New Roman" w:eastAsia="Times New Roman" w:hAnsi="Times New Roman"/>
                <w:sz w:val="17"/>
                <w:szCs w:val="17"/>
                <w:b w:val="1"/>
                <w:bCs w:val="1"/>
                <w:color w:val="auto"/>
                <w:w w:val="86"/>
                <w:vertAlign w:val="superscript"/>
              </w:rPr>
              <w:t>(d)</w:t>
            </w:r>
          </w:p>
        </w:tc>
        <w:tc>
          <w:tcPr>
            <w:tcW w:w="8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r>
      <w:tr>
        <w:trPr>
          <w:trHeight w:val="20"/>
        </w:trPr>
        <w:tc>
          <w:tcPr>
            <w:tcW w:w="3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Gilfeather</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​11,687</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​​40,250</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​260,000</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​​333,481</w:t>
            </w:r>
          </w:p>
        </w:tc>
      </w:tr>
      <w:tr>
        <w:trPr>
          <w:trHeight w:val="25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Joseph A. Ruhl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​12,994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​​40,250</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50,000</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​​103,244</w:t>
            </w:r>
          </w:p>
        </w:tc>
      </w:tr>
      <w:tr>
        <w:trPr>
          <w:trHeight w:val="25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Lesler</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​​18,582</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35,020</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59,602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-496570</wp:posOffset>
            </wp:positionV>
            <wp:extent cx="137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-496570</wp:posOffset>
            </wp:positionV>
            <wp:extent cx="137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-496570</wp:posOffset>
            </wp:positionV>
            <wp:extent cx="137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-496570</wp:posOffset>
            </wp:positionV>
            <wp:extent cx="137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-496570</wp:posOffset>
            </wp:positionV>
            <wp:extent cx="137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146050</wp:posOffset>
            </wp:positionV>
            <wp:extent cx="12344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spacing w:after="0"/>
        <w:tabs>
          <w:tab w:leader="none" w:pos="1960" w:val="left"/>
        </w:tabs>
        <w:rPr>
          <w:sz w:val="20"/>
          <w:szCs w:val="20"/>
          <w:color w:val="auto"/>
        </w:rPr>
      </w:pPr>
      <w:r>
        <w:rPr>
          <w:rFonts w:ascii="Times New Roman" w:cs="Times New Roman" w:eastAsia="Times New Roman" w:hAnsi="Times New Roman"/>
          <w:sz w:val="18"/>
          <w:szCs w:val="18"/>
          <w:color w:val="auto"/>
        </w:rPr>
        <w:t>(a)</w:t>
        <w:tab/>
        <w:t>The value of the executive’s automobile allowance.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87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taxable income associated with the named executive officer’s life insurance benefit.</w:t>
      </w:r>
    </w:p>
    <w:p>
      <w:pPr>
        <w:spacing w:after="0" w:line="13"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amount represents matching and employer discretionary contributions made to the 401(k). See </w:t>
      </w:r>
      <w:r>
        <w:rPr>
          <w:rFonts w:ascii="Times New Roman" w:cs="Times New Roman" w:eastAsia="Times New Roman" w:hAnsi="Times New Roman"/>
          <w:sz w:val="18"/>
          <w:szCs w:val="18"/>
          <w:i w:val="1"/>
          <w:iCs w:val="1"/>
          <w:color w:val="auto"/>
        </w:rPr>
        <w:t>“Tax-Qualified Retirement Plans — 401(k) Plan.”</w:t>
      </w:r>
    </w:p>
    <w:p>
      <w:pPr>
        <w:spacing w:after="0" w:line="13" w:lineRule="exact"/>
        <w:rPr>
          <w:rFonts w:ascii="Times New Roman" w:cs="Times New Roman" w:eastAsia="Times New Roman" w:hAnsi="Times New Roman"/>
          <w:sz w:val="18"/>
          <w:szCs w:val="18"/>
          <w:color w:val="auto"/>
        </w:rPr>
      </w:pPr>
    </w:p>
    <w:p>
      <w:pPr>
        <w:ind w:left="1980" w:right="131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employer contributions to each executive’s Performance-Based Supplemental Executive Retirement Plan (“Performance-Based SERP”) account.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Incentive Compensation Plans</w:t>
      </w:r>
    </w:p>
    <w:p>
      <w:pPr>
        <w:spacing w:after="0" w:line="15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Cash-Based Short-Term Incentives</w:t>
      </w:r>
      <w:r>
        <w:rPr>
          <w:rFonts w:ascii="Times New Roman" w:cs="Times New Roman" w:eastAsia="Times New Roman" w:hAnsi="Times New Roman"/>
          <w:sz w:val="18"/>
          <w:szCs w:val="18"/>
          <w:color w:val="auto"/>
        </w:rPr>
        <w:t>. The Bank maintains the Orange Bank &amp; Trust Company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 (the “AIP” or the “Annual Incentive Plan”) to recognize and reward eligible officers of the Bank with short-term cash-based incentives for their collective and individual contributions to the success of the Bank and its affiliates. The AIP also serves as a critical compensation tool to attract and retain talent, align executive performance with our strategic plan, budget and stockholder interests. The 2025 AIP focused on Company/Bank performance measures that are critical to our growth and profitability which included the Bank’s pre-tax, pre-provision operating income and the Bank’s efficiency ratio, as well as department and/or individual performance goals which are established annually. In 2025, all of our named executive officers participated in the AIP and were given a target, threshold and maximum incentive award opportunity based on a percentage of their base pay as of December 31, 2025, which for Mr. Gilfeather was 20%, 40% and 60%, respectively, and for Messrs. Ruhl and Lesler were 17.50%, 35% and 52.50%, respectively.</w:t>
      </w:r>
    </w:p>
    <w:p>
      <w:pPr>
        <w:spacing w:after="0" w:line="327"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AIP is based on each executive’s achievement of Company/Bank and individual performance goals weighted as follows:</w:t>
      </w:r>
    </w:p>
    <w:tbl>
      <w:tblPr>
        <w:tblLayout w:type="fixed"/>
        <w:tblInd w:w="1620" w:type="dxa"/>
        <w:tblCellMar>
          <w:top w:w="0" w:type="dxa"/>
          <w:left w:w="0" w:type="dxa"/>
          <w:bottom w:w="0" w:type="dxa"/>
          <w:right w:w="0" w:type="dxa"/>
        </w:tblCellMar>
      </w:tblPr>
      <w:tr>
        <w:trPr>
          <w:trHeight w:val="351"/>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Names Executive Officer</w:t>
            </w:r>
          </w:p>
        </w:tc>
        <w:tc>
          <w:tcPr>
            <w:tcW w:w="3380" w:type="dxa"/>
            <w:vAlign w:val="bottom"/>
            <w:gridSpan w:val="7"/>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Bank Goal Weighting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Individual Goal Weighting</w:t>
            </w:r>
            <w:r>
              <w:rPr>
                <w:rFonts w:ascii="Times New Roman" w:cs="Times New Roman" w:eastAsia="Times New Roman" w:hAnsi="Times New Roman"/>
                <w:sz w:val="28"/>
                <w:szCs w:val="28"/>
                <w:b w:val="1"/>
                <w:bCs w:val="1"/>
                <w:color w:val="auto"/>
                <w:vertAlign w:val="subscript"/>
              </w:rPr>
              <w:t>​</w:t>
            </w:r>
          </w:p>
        </w:tc>
      </w:tr>
      <w:tr>
        <w:trPr>
          <w:trHeight w:val="20"/>
        </w:trPr>
        <w:tc>
          <w:tcPr>
            <w:tcW w:w="4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Gilfeather</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Joseph A. Ruhl</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p>
        </w:tc>
        <w:tc>
          <w:tcPr>
            <w:tcW w:w="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Lesler</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4631690</wp:posOffset>
            </wp:positionH>
            <wp:positionV relativeFrom="paragraph">
              <wp:posOffset>-496570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-496570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AIP participants must be actively employed on the day the AIP awards are paid in order to receive the short-term incentive award. Generally, at least one Bank/Company performance measure must be satisfied at a minimum threshold level for a short-term incentive award to be earned. In 2025, the AIP Company performance measures were achieved at maximum and individual performance measures were achieved. The Compensation Committee exercised discretion and Messrs. Gilfeather, Ruhl, and Lesler received a total</w:t>
      </w:r>
    </w:p>
    <w:p>
      <w:pPr>
        <w:spacing w:after="0" w:line="2" w:lineRule="exact"/>
        <w:rPr>
          <w:sz w:val="20"/>
          <w:szCs w:val="20"/>
          <w:color w:val="auto"/>
        </w:rPr>
      </w:pPr>
    </w:p>
    <w:p>
      <w:pPr>
        <w:ind w:left="1260" w:right="619"/>
        <w:spacing w:after="0" w:line="246" w:lineRule="auto"/>
        <w:rPr>
          <w:sz w:val="20"/>
          <w:szCs w:val="20"/>
          <w:color w:val="auto"/>
        </w:rPr>
      </w:pPr>
      <w:r>
        <w:rPr>
          <w:rFonts w:ascii="Times New Roman" w:cs="Times New Roman" w:eastAsia="Times New Roman" w:hAnsi="Times New Roman"/>
          <w:sz w:val="18"/>
          <w:szCs w:val="18"/>
          <w:color w:val="auto"/>
        </w:rPr>
        <w:t>2025 AIP payout equal to 64.29%, 56.28%, and 51.40% of their base pay,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due to exceptional Company performance. See </w:t>
      </w:r>
      <w:r>
        <w:rPr>
          <w:rFonts w:ascii="Times New Roman" w:cs="Times New Roman" w:eastAsia="Times New Roman" w:hAnsi="Times New Roman"/>
          <w:sz w:val="18"/>
          <w:szCs w:val="18"/>
          <w:i w:val="1"/>
          <w:iCs w:val="1"/>
          <w:color w:val="auto"/>
        </w:rPr>
        <w:t>“— Non-Equity Incentive Plan Compensation”</w:t>
      </w:r>
      <w:r>
        <w:rPr>
          <w:rFonts w:ascii="Times New Roman" w:cs="Times New Roman" w:eastAsia="Times New Roman" w:hAnsi="Times New Roman"/>
          <w:sz w:val="18"/>
          <w:szCs w:val="18"/>
          <w:color w:val="auto"/>
        </w:rPr>
        <w:t xml:space="preserve"> column of the Summary Compensation Table above for the dollar value of each named executive officer’s 2025 AIP payout.</w:t>
      </w:r>
    </w:p>
    <w:p>
      <w:pPr>
        <w:spacing w:after="0" w:line="10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Equity-Based Long-Term Incentives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maintains the 2023 Equity Incentive Plan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directors of the Company and subsidiaries (the Bank and OIA) with additional incentives to promote the long-term growth and performance of the Company and the Bank and to further align the interests of our directors and management with the interests of our stockholders by increasing their ownership interests in the common stock of the Company. The 2023 Equity Incentive Plan is administered by the Compensation Committee. The 2023 Equity Incentive Plan authorizes the issuance of up to 500,000 shares of common stock, which may be delivered pursuant to the exercise of stock options or issued as grants of restricted stock awards or restricted stock units. No stock options have been granted to our executive officers under the 2023 Equity Incentive Plan.</w:t>
      </w:r>
    </w:p>
    <w:p>
      <w:pPr>
        <w:spacing w:after="0" w:line="11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In making decisions regarding equity-based long-term incentives for our named executive officers, the Compensation Committee reviews the comparable equity award data for similar positions in our industry, market data, and data from AON (the Company’s independent compensation consultant), and considers other relevant factors, including the terms of any applicable employment agreement or offer letter.</w:t>
      </w:r>
    </w:p>
    <w:p>
      <w:pPr>
        <w:spacing w:after="0" w:line="110"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During 2025, AON assisted the Compensation Committee in determining the performance metrics and weightings for the long-term incentive program (“LTIP”). Based on the Company’s achievement of return on average assets and net interest margin relative to peers, Messrs. Gilfeather, Ruhl, and Lesler each received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 xml:space="preserve">a restricted stock unit (“RSU”) grant for 19,206; 5,934; and 5,848 shares, respectively. Each RSU vests ratably over a three-year period. Unless otherwise provided for in an employment agreement, severance agreement or offer letter, in the event a named executive officer voluntarily terminates his employment or is terminated for cause, he will forfeit all unvested RSU awards. Vesting accelerates in the event an executive’s employment is terminated for death, disability or upon termination of employment following a Change in Control (as defined in the 2023 Equity Incentive Plan). See </w:t>
      </w:r>
      <w:r>
        <w:rPr>
          <w:rFonts w:ascii="Times New Roman" w:cs="Times New Roman" w:eastAsia="Times New Roman" w:hAnsi="Times New Roman"/>
          <w:sz w:val="18"/>
          <w:szCs w:val="18"/>
          <w:i w:val="1"/>
          <w:iCs w:val="1"/>
          <w:color w:val="auto"/>
        </w:rPr>
        <w:t>“Summary Compensation Table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for the grant date fair value of each named executive officer’s RSU award.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Non-Qualified Deferred Compensation Arrangements</w:t>
      </w:r>
    </w:p>
    <w:p>
      <w:pPr>
        <w:spacing w:after="0" w:line="15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Gilfeather SERP</w:t>
      </w:r>
      <w:r>
        <w:rPr>
          <w:rFonts w:ascii="Times New Roman" w:cs="Times New Roman" w:eastAsia="Times New Roman" w:hAnsi="Times New Roman"/>
          <w:sz w:val="18"/>
          <w:szCs w:val="18"/>
          <w:color w:val="auto"/>
        </w:rPr>
        <w:t>. In April 2014, the Bank implemented a supplemental executive retirement plan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Gilfeather with a one-time contribution of $15,000. The Boards of Directors of the Bank and the Company may authorize additional contributions to Mr. Gilfeather’s SERP account; however, no additional contributions have been made since 2014. Mr. Gilfeather’s SERP benefit is fully vested and will be distributed in a lump sum within the earlier of 45 days following his separation from service or 30 days following a Change in Control (as defined in the Gilfeather SERP). During 2025, Mr. Gilfeather earned interest on his SERP Account balance at the rate of 2.6%.</w:t>
      </w:r>
    </w:p>
    <w:p>
      <w:pPr>
        <w:spacing w:after="0" w:line="115" w:lineRule="exact"/>
        <w:rPr>
          <w:sz w:val="20"/>
          <w:szCs w:val="20"/>
          <w:color w:val="auto"/>
        </w:rPr>
      </w:pPr>
    </w:p>
    <w:p>
      <w:pPr>
        <w:ind w:left="1260" w:right="439" w:firstLine="3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Performance-Based SERP</w:t>
      </w:r>
      <w:r>
        <w:rPr>
          <w:rFonts w:ascii="Times New Roman" w:cs="Times New Roman" w:eastAsia="Times New Roman" w:hAnsi="Times New Roman"/>
          <w:sz w:val="18"/>
          <w:szCs w:val="18"/>
          <w:color w:val="auto"/>
        </w:rPr>
        <w:t>. All of the named executive officers are participants in the Performance-Based SERP, a non-qualified deferred compensation plan that provides supplemental retirement benefits to each participating executive which may be distributed in cash or Company common stock. The Bank maintains a bookkeeping account on behalf of each of our named executive officers. All of our named executive officers have entered into participation agreements with the Bank that outline their Performance-Based SERP opportunities. During the term of his employment agreement, Mr. Gilfeather is eligible for an annual contribution of $260,000 to his Performance-Based SERP Account, if (i) he is employed by the Bank and the Company on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applicable year, (ii) the Bank has $2.5 billion in total assets for two consecutive quarters during an applicable fiscal year, and (iii) Mr. Gilfeather satisfies at least 80% of his annual goals established for an applicable fiscal year. Mr. Gilfeather became fully vested in his Performance-Based SERP Account upon attainment of age 65. During the term of his employment agreement, Mr. Ruhl is eligible for an annual contribution of $50,000 to his Performance-Based SERP account, if: (i) he is employed by the Bank and the Company on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applicable year and</w:t>
      </w:r>
    </w:p>
    <w:p>
      <w:pPr>
        <w:spacing w:after="0" w:line="8" w:lineRule="exact"/>
        <w:rPr>
          <w:sz w:val="20"/>
          <w:szCs w:val="20"/>
          <w:color w:val="auto"/>
        </w:rPr>
      </w:pPr>
    </w:p>
    <w:p>
      <w:pPr>
        <w:ind w:left="1260" w:right="499"/>
        <w:spacing w:after="0" w:line="251" w:lineRule="auto"/>
        <w:tabs>
          <w:tab w:leader="none" w:pos="15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satisfies at least 80% of his annual goals established for an applicable fiscal year. Mr. Ruhl will fully vest in his Performance-Based SERP Account upon the earlier of (i) his attainment of age 65, (ii) his attainment of age 62 with ten (10) years of service, or (iii) a change in control occurs. Under the terms of Mr. Lesler’s participation agreement, he is entitled to an employer contribution of 10% of his base salary each year he is employed by the Bank through December 31, 2026. Each employer contribution made to Mr. Lesler under the Performance-Based SERP will fully vest in his Performance-Based SERP Account upon the earlier of (i) his attainment of normal retirement age (age 62 with 10 years of service), (ii) change in control, or (iii) participant’s death. During 2025, Performance-based SERP Accounts credited in cash earned interest at the rate of 2.60%.</w:t>
      </w:r>
    </w:p>
    <w:p>
      <w:pPr>
        <w:spacing w:after="0" w:line="327"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vested portion of each named executive officer’s Performance-Based SERP account becomes payable upon separation from service (other than for cause) and will be paid in five equal annual installments. In the event an executive’s employment is terminated within 12 months following a change in control, the Performance-Based SERP accounts will be distributed in a lump sum as soon as practicable following termination of employment.</w:t>
      </w:r>
    </w:p>
    <w:p>
      <w:pPr>
        <w:spacing w:after="0" w:line="11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Orange Bank &amp; Trust Company Non-Qualified Deferred Compensation Plan</w:t>
      </w:r>
      <w:r>
        <w:rPr>
          <w:rFonts w:ascii="Times New Roman" w:cs="Times New Roman" w:eastAsia="Times New Roman" w:hAnsi="Times New Roman"/>
          <w:sz w:val="18"/>
          <w:szCs w:val="18"/>
          <w:color w:val="auto"/>
        </w:rPr>
        <w:t>. The Bank maintains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Orange Bank &amp; Trust Company Non-Qualified Deferred Compensation Plan (the “Deferred Compensation Plan”) as a vehicle for select executives to defer receipt of certain compensation earned for service with the Bank and its affiliates until separation from service (other than death), a specified date/age or death. The Deferred Compensation Plan is a non-qualified deferred compensation plan that is intended to comply with Section 409A of the Internal Revenue Code, and the “top hat pension plan” requirements of the Employee Retirement Income Security Act of 1974.</w:t>
      </w:r>
    </w:p>
    <w:p>
      <w:pPr>
        <w:spacing w:after="0" w:line="119"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Participation in the Deferred Compensation Plan is voluntary and limited to a select group of management or highly compensated employees selected by the Compensation Committee of the Board of</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Directors of the Bank in its sole discretion. The named executive officers are all eligible to participate in the Deferred Compensation Plan. None of the named executive officers deferred compensation under the plan in 2025.</w:t>
      </w:r>
    </w:p>
    <w:p>
      <w:pPr>
        <w:spacing w:after="0" w:line="10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Elective deferrals are credited to participant accounts on the date a participant’s compensation would have been paid to the participant absent the deferral election. Participant accounts are not credited with earnings. Therefore, the value of an account will always equal the dollar amount a participant has deferred into the Deferred Compensation Plan and will always be 100% vested.</w:t>
      </w:r>
    </w:p>
    <w:p>
      <w:pPr>
        <w:spacing w:after="0" w:line="110"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Obligations established under the terms of the Deferred Compensation Plan are satisfied from the general assets of the Bank. To the extent that any person acquires a right to receive payments under the Deferred Compensation Plan, such rights are no greater than the right of an unsecured general creditor of the Bank.</w:t>
      </w:r>
    </w:p>
    <w:p>
      <w:pPr>
        <w:spacing w:after="0" w:line="106" w:lineRule="exact"/>
        <w:rPr>
          <w:sz w:val="20"/>
          <w:szCs w:val="20"/>
          <w:color w:val="auto"/>
        </w:rPr>
      </w:pPr>
    </w:p>
    <w:p>
      <w:pPr>
        <w:ind w:left="1260" w:right="57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Orange County Bancorp, Inc. Stock-Based Deferral Plan, as amended and restated</w:t>
      </w:r>
      <w:r>
        <w:rPr>
          <w:rFonts w:ascii="Times New Roman" w:cs="Times New Roman" w:eastAsia="Times New Roman" w:hAnsi="Times New Roman"/>
          <w:sz w:val="18"/>
          <w:szCs w:val="18"/>
          <w:color w:val="auto"/>
        </w:rPr>
        <w:t>. Mr. Gilfeather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in the Stock-Based Deferral Plan as a result of a one-time transfer from the Performance-Based SERP into the Stock-Based Deferral Plan. Mr. Gilfeather has made no further deferrals to the Stock-Based Deferral Plan. See “</w:t>
      </w:r>
      <w:r>
        <w:rPr>
          <w:rFonts w:ascii="Times New Roman" w:cs="Times New Roman" w:eastAsia="Times New Roman" w:hAnsi="Times New Roman"/>
          <w:sz w:val="18"/>
          <w:szCs w:val="18"/>
          <w:i w:val="1"/>
          <w:iCs w:val="1"/>
          <w:color w:val="auto"/>
        </w:rPr>
        <w:t>Director Compensation — Stock-Based Deferral Plan</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Tax-Qualified Retirement Plans</w:t>
      </w:r>
    </w:p>
    <w:p>
      <w:pPr>
        <w:spacing w:after="0" w:line="158" w:lineRule="exact"/>
        <w:rPr>
          <w:sz w:val="20"/>
          <w:szCs w:val="20"/>
          <w:color w:val="auto"/>
        </w:rPr>
      </w:pPr>
    </w:p>
    <w:p>
      <w:pPr>
        <w:ind w:left="1260" w:right="49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Pension Plan</w:t>
      </w:r>
      <w:r>
        <w:rPr>
          <w:rFonts w:ascii="Times New Roman" w:cs="Times New Roman" w:eastAsia="Times New Roman" w:hAnsi="Times New Roman"/>
          <w:sz w:val="18"/>
          <w:szCs w:val="18"/>
          <w:color w:val="auto"/>
        </w:rPr>
        <w:t>. The Bank maintains the New York State Bankers Retirement System Volume Submitter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(the “Pension Plan”), as adopted by the Bank, a tax-qualified defined benefit plan for eligible employees. An employee must have completed one year of service as well as 1,000 hours and attained age 21 to have been eligible to participate in the Pension Plan. The Pension Plan was closed to new participants and benefit accruals were frozen as of December 31, 2015. Mr. Gilfeather is the only named executive officer who is a participant in the Pension Plan.</w:t>
      </w:r>
    </w:p>
    <w:p>
      <w:pPr>
        <w:spacing w:after="0" w:line="9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Under the Pension Plan, if a participant retires after attaining age 65, the participant may elect to receive several alternative normal retirement benefit payments ranging in various payment periods from lump sum up to 60 monthly payments. If a participant retires prior to age 65 but after attaining age 55 with five years of service, the participant will be entitled to a reduced early retirement benefit.</w:t>
      </w:r>
    </w:p>
    <w:p>
      <w:pPr>
        <w:spacing w:after="0" w:line="106"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 The Orange County Bancorp, Inc. 401(k) Plan (the “401(k)”) is a tax-qualified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 plan for eligible employees of the Company, the Bank and OIA. Messrs. Gilfeather, Ruhl, and Lesler are eligible to make elective deferrals into the 401(k) under the same terms as other employees. An employee must have completed 500 hours of service in a six-month computation period and attain age 21 to be eligible to make elective deferrals into the 401(k).</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Participants in the 401(k) may elect to defer up to 85% of their Plan compensation, on a pre-tax and post- tax basis, up to the limit permitted by the Internal Revenue Code. If a participant does not affirmatively elect not to defer, the participant will automatically be enrolled with a deferral rate of 6%. The Bank currently provides participants with a safe harbor profit -sharing contribution to active participants in the 401(k) . Additionally, the Bank may make discretionary employer profit -sharing contributions to the 401(k), which may be in the form of Company common stock. The 401(k) also provides for age-based discretionary contributions for individuals age 21 and above who were employed by the Bank before April 1, 2016. Messrs. Gilfeather and Ruhl were each eligible for an age -based discretionary contribution equal to 8.50% of their base pay subject to Internal Revenue Code limits. Participant salary deferrals, employer safe harbor contributions and employer discretionary profit-sharing contributions, including the age-based discretionary contributions are always 100% vested. For participants employed on or after April 1, 2016, the Bank matches 100% on the first 4% of pay deferred (as limited by Treasury regulations). Mr. Lesler was eligible for the matching contribution. Matching contributions vest at a rate of 33.33% per year after one year of service. See </w:t>
      </w:r>
      <w:r>
        <w:rPr>
          <w:rFonts w:ascii="Times New Roman" w:cs="Times New Roman" w:eastAsia="Times New Roman" w:hAnsi="Times New Roman"/>
          <w:sz w:val="18"/>
          <w:szCs w:val="18"/>
          <w:i w:val="1"/>
          <w:iCs w:val="1"/>
          <w:color w:val="auto"/>
        </w:rPr>
        <w:t>“Summary Compensation Table — All Other Compensation”</w:t>
      </w:r>
      <w:r>
        <w:rPr>
          <w:rFonts w:ascii="Times New Roman" w:cs="Times New Roman" w:eastAsia="Times New Roman" w:hAnsi="Times New Roman"/>
          <w:sz w:val="18"/>
          <w:szCs w:val="18"/>
          <w:color w:val="auto"/>
        </w:rPr>
        <w:t xml:space="preserve"> for information on the contributions made to the named executive officers under the 401(k).</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Agreements</w:t>
      </w:r>
    </w:p>
    <w:p>
      <w:pPr>
        <w:spacing w:after="0" w:line="144" w:lineRule="exact"/>
        <w:rPr>
          <w:sz w:val="20"/>
          <w:szCs w:val="20"/>
          <w:color w:val="auto"/>
        </w:rPr>
      </w:pPr>
    </w:p>
    <w:p>
      <w:pPr>
        <w:ind w:left="1620"/>
        <w:spacing w:after="0"/>
        <w:tabs>
          <w:tab w:leader="none" w:pos="5420" w:val="left"/>
        </w:tabs>
        <w:rPr>
          <w:sz w:val="20"/>
          <w:szCs w:val="20"/>
          <w:color w:val="auto"/>
        </w:rPr>
      </w:pPr>
      <w:r>
        <w:rPr>
          <w:rFonts w:ascii="Times New Roman" w:cs="Times New Roman" w:eastAsia="Times New Roman" w:hAnsi="Times New Roman"/>
          <w:sz w:val="18"/>
          <w:szCs w:val="18"/>
          <w:b w:val="1"/>
          <w:bCs w:val="1"/>
          <w:i w:val="1"/>
          <w:iCs w:val="1"/>
          <w:color w:val="auto"/>
        </w:rPr>
        <w:t>Employment Agreement with Michael J. Gilfeather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On December 22, 2023, the Company and the Bank</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entered into an amended and restated employment agreement with Michael J. Gilfeather, President</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and Chief Executive Officer of the Company and the Bank (the “Gilfeather Agreement”), effective as of January 1, 2024, which superseded and replaced his prior employment agreement. The Gilfeather Agreement has an initial term through March 27, 2027. On February 20, 2025, the initial term was extended through March 31, 2028. On March 19, 2026, the term was further extended to March 30, 2029.</w:t>
      </w:r>
    </w:p>
    <w:p>
      <w:pPr>
        <w:spacing w:after="0" w:line="3" w:lineRule="exact"/>
        <w:rPr>
          <w:sz w:val="20"/>
          <w:szCs w:val="20"/>
          <w:color w:val="auto"/>
        </w:rPr>
      </w:pPr>
    </w:p>
    <w:p>
      <w:pPr>
        <w:ind w:left="1260" w:right="659"/>
        <w:spacing w:after="0" w:line="235" w:lineRule="auto"/>
        <w:rPr>
          <w:sz w:val="20"/>
          <w:szCs w:val="20"/>
          <w:color w:val="auto"/>
        </w:rPr>
      </w:pPr>
      <w:r>
        <w:rPr>
          <w:rFonts w:ascii="Times New Roman" w:cs="Times New Roman" w:eastAsia="Times New Roman" w:hAnsi="Times New Roman"/>
          <w:sz w:val="18"/>
          <w:szCs w:val="18"/>
          <w:color w:val="auto"/>
        </w:rPr>
        <w:t>Mr. Gilfeather’s current base salary under his agreement is $735,000. Mr. Gilfeather’s base salary may be increased but not decreased during the term of the Gilfeather Agreement. In addition to base salary,</w:t>
      </w:r>
    </w:p>
    <w:p>
      <w:pPr>
        <w:spacing w:after="0" w:line="1"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Mr. Gilfeather is eligible to participate in the short-term and long-term incentive compensation programs of the Company and the Bank, which includes the Annual Incentive Plan and the LTIP. Mr. Gilfeather’s annual target bonus opportunities under the Annual Incentive Plan and the LTIP are, at a minimum, 40% and 50% of base salary, respectively. Mr. Gilfeather is also eligible to participate in all employee benefit plans, arrangements and perquisites offered to employees and officers of the Bank. All reasonable travel and other business expenses incurred by Mr. Gilfeather in the performance of his duties, including dues and fees associated with country club memberships, are reimbursed by the Bank in accordance with its reimbursement policy, as amended from time to time.</w:t>
      </w:r>
    </w:p>
    <w:p>
      <w:pPr>
        <w:spacing w:after="0" w:line="119"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addition, the Gilfeather Agreement provides Mr. Gilfeather with the opportunity to earn both a cash and Company stock-based retention bonus upon the satisfaction of certain terms and conditions. If</w:t>
      </w:r>
    </w:p>
    <w:p>
      <w:pPr>
        <w:spacing w:after="0" w:line="1"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Mr. Gilfeather remains continuously employed with the Company and the Bank through December 31, 2026, the Company will pay Mr. Gilfeather a lump sum cash retention bonus in the amount of $375,000 (the “Cash Retention Bonus”). If Mr. Gilfeather remains employed through December 31, 2027, he will receive an additional lump sum cash payment in the amount of $125,000 (the “Cash Retention Enhancement Bonus”). In the event of a Change in Control or Mr. Gilfeather’s death prior to the payment of the Cash Retention Bonus or the Cash Retention Enhancement Bonus, Mr. Gilfeather is entitled to any unpaid Cash Retention Bonus or, if the death or Change in Control is on or after January 1, 2027, Cash Retention Enhancement Bonus, within 30 days of the Change in Control or Mr. Gilfeather’s death, as applicable. If the Bank or the Company terminates Mr. Gilfeather’s employment without Cause (as defined in the Gilfeather Agreement), or Mr. Gilfeather terminates his employment for Good Reason (as defined in the Gilfeather Agreement), Mr. Gilfeather shall be entitled to any unpaid Cash Retention Bonus or, if the termination is on or after January 1, 2027, Cash Retention Enhancement Bonus, in the regular payroll following the effective date of a release of claims executed and not revoked by Mr. Gilfeather. Within 30 days of the effective date of the Gilfeather Agreement, and annually during the month of February 2025 and 2026 (subject to</w:t>
      </w:r>
    </w:p>
    <w:p>
      <w:pPr>
        <w:spacing w:after="0" w:line="3" w:lineRule="exact"/>
        <w:rPr>
          <w:sz w:val="20"/>
          <w:szCs w:val="20"/>
          <w:color w:val="auto"/>
        </w:rPr>
      </w:pPr>
    </w:p>
    <w:p>
      <w:pPr>
        <w:ind w:left="1260" w:right="459"/>
        <w:spacing w:after="0" w:line="239" w:lineRule="auto"/>
        <w:rPr>
          <w:sz w:val="20"/>
          <w:szCs w:val="20"/>
          <w:color w:val="auto"/>
        </w:rPr>
      </w:pPr>
      <w:r>
        <w:rPr>
          <w:rFonts w:ascii="Times New Roman" w:cs="Times New Roman" w:eastAsia="Times New Roman" w:hAnsi="Times New Roman"/>
          <w:sz w:val="18"/>
          <w:szCs w:val="18"/>
          <w:color w:val="auto"/>
        </w:rPr>
        <w:t>Mr. Gilfeather’s employment with the Bank and the Company on the date of grant), the Company granted Mr. Gilfeather performance-based restricted stock units (“RSUs”) equal to 20% of his Base Salary on the date of grant (“RSU Retention Bonus”). The RSUs granted as part of the RSU Retention Bonus will cliff-vest on December 31, 2026, if Mr. Gilfeather remains continuously employed through that date and satisfies the RSU Retention Bonus performance criteria. The RSU Retention Bonus is subject to the terms of the Orange County Bancorp, Inc. 2023 Equity Incentive Plan and RSU Retention Bonus agreements. In the event of a Change in Control or Mr. Gilfeather’s death, involuntary termination without Cause or voluntary termination for Good Reason, prior to December 31, 2026, the unvested RSUs granted as part of the RSU Retention Bonus will fully vest. In the event of a Change in Control or Mr. Gilfeather’s death, involuntary termination without Cause or voluntary termination for Good Reason prior to Mr. Gilfeather being granted all the RSU Retention Bonus grants, Mr. Gilfeather will receive a cash payment in lieu of each ungranted RSU equal to 20% of Mr. Gilfeather’s base salary at the time of the Change in Control or his separation from service due to his death, involuntary termination without Cause or voluntary termination with Good Reason. The Company or its successor will issue shares of stock and/or make a payment of cash to</w:t>
      </w:r>
    </w:p>
    <w:p>
      <w:pPr>
        <w:spacing w:after="0" w:line="5"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Mr. Gilfeather as required within 30 days of the effective date of the general release of claims required under the Gilfeather Agreement.</w:t>
      </w:r>
    </w:p>
    <w:p>
      <w:pPr>
        <w:spacing w:after="0" w:line="10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In the event of Mr. Gilfeather’s termination by the Bank or the Company, not in connection with a “change in control,” without “cause” or Mr. Gilfeather’s resignation for “good reason,” (as​ such terms are defined in the Gilfeather Agreement), under the Gilfeather Agreement, Mr. Gilfeather will be entitled to a pro-rated AIP bonus accrued but unpaid based on Mr. Gilfeather’s employment through his separation date. Further, all RSUs granted under the LTIP will be pro-rated based on Mr. Gilfeather’s service during the vesting period. The Gilfeather Agreement also provides Mr. Gilfeather with a severance payment equal to the sum of Mr. Gilfeather’s base salary as of his termination date, plus the average of the three most recent annual bonuses under the AIP paid to Mr. Gilfeather prior to his termination date. In addition, the Bank will pay to Mr. Gilfeather the cost of COBRA premiums on a monthly basis commencing with the first month</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following his date of termination and continuing until the earlier of (A)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following</w:t>
      </w:r>
    </w:p>
    <w:p>
      <w:pPr>
        <w:ind w:left="1260" w:right="679"/>
        <w:spacing w:after="0" w:line="243" w:lineRule="auto"/>
        <w:rPr>
          <w:sz w:val="20"/>
          <w:szCs w:val="20"/>
          <w:color w:val="auto"/>
        </w:rPr>
      </w:pPr>
      <w:r>
        <w:rPr>
          <w:rFonts w:ascii="Times New Roman" w:cs="Times New Roman" w:eastAsia="Times New Roman" w:hAnsi="Times New Roman"/>
          <w:sz w:val="18"/>
          <w:szCs w:val="18"/>
          <w:color w:val="auto"/>
        </w:rPr>
        <w:t>Mr. Gilfeather’s date of termination; or (B) such time that Mr. Gilfeather first becomes eligible for health insurance coverage with another employer.</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the event of a qualifying termination upon or within 12 months of a change in control, the Gilfeather Agreement provides that Mr. Gilfeather will be entitled to a change in control severance payment equal to three times the sum of: (i) his base salary in effect immediately before the change in control (or if higher, the rate in effect on the date of termination); and (ii) average of the three most recent annual bonuses pursuant to the Annual Incentive Plan paid prior to the change in control. In addition, Mr. Gilfeather would be entitled to receive a lump sum cash payment equal to eighteen times the monthly COBRA premium in effect for Mr. Gilfeather on the date of termination for the type of bank-provided group health plan coverage in effect for Mr. Gilfeather (e.g., family coverage). If an excise tax under Code Sections 280G and 4999 would be assessed on the payments or other benefits received under the Gilfeather Agreement in connection with a change in control of the Company, Mr. Gilfeather would receive either: (1) all the payments and benefits to which he is entitled under the agreement, subject to the excise tax; or (2) have such payments and benefits reduced by the minimum amount necessary so that the excise tax will not apply, if such reduction would result in a greater net after-tax benefit to Mr. Gilfeather.</w:t>
      </w:r>
    </w:p>
    <w:p>
      <w:pPr>
        <w:spacing w:after="0" w:line="12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Gilfeather Agreement terminates upon Mr. Gilfeather’s death in which event the Bank will pay Mr. Gilfeather’s estate or his beneficiaries any compensation earned but unpaid as of the date of his death. All unvested retention bonuses (cash and stock) will vest and any unvested RSUs granted under the LTIP will also vest.</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If Mr. Gilfeather voluntarily terminates his employment with the Bank or the Company (other than for good reason) or his employment is terminated by the Company or the Bank for cause, the sole obligation of the Company and the Bank under the Gilfeather Agreement is to pay Mr. Gilfeather any compensation earned but unpaid as of the date of his termination of employment.</w:t>
      </w:r>
    </w:p>
    <w:p>
      <w:pPr>
        <w:spacing w:after="0" w:line="11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Gilfeather Agreement provides for a one-year non -competition covenant and two-year non-solicitation covenants related to employees and customers, provided, however, that such covenants will not apply in the event of a termination upon or within 12 months of a change in control.</w:t>
      </w:r>
    </w:p>
    <w:p>
      <w:pPr>
        <w:spacing w:after="0" w:line="105"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Employment Agreement with Joseph Ruhl. </w:t>
      </w:r>
      <w:r>
        <w:rPr>
          <w:rFonts w:ascii="Times New Roman" w:cs="Times New Roman" w:eastAsia="Times New Roman" w:hAnsi="Times New Roman"/>
          <w:sz w:val="18"/>
          <w:szCs w:val="18"/>
          <w:color w:val="auto"/>
        </w:rPr>
        <w:t>The Company and the Bank entered into an amended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restated employment agreement with Joseph Ruhl, Executive Vice President and Regional President, effective as of December 22, 2023 (the “Ruhl Agreement”). The Ruhl Agreement provides for a two-year term, which automatically extends for an additional year each January 1 unless the Bank or Mr. Ruhl provides written notice to the other of its intent not to renew. Unless otherwise extended, the current term of the Ruhl Agreement expires on December 22, 2026. Mr. Ruhl’s current base salary under his agreement is $355,350. Mr. Ruhl’s base salary may be increased but not decreased during the term of his employment agreement. In addition, Mr. Ruhl is eligible to participate in the AIP and the LTIP. Mr. Ruhl’s target incentive opportunity under the AIP and LTIP is commensurate to the incentive opportunities for similarly situated officers at the Bank. Mr. Ruhl is also eligible to participate in all employee benefit plans and arrangements, including a supplemental executive retirement plan, health and welfare insurance coverage, and perquisites, including reimbursement of travel and other reasonable business expenses incurred during the performance of his duties.</w:t>
      </w:r>
    </w:p>
    <w:p>
      <w:pPr>
        <w:spacing w:after="0" w:line="34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Ruhl Agreement provides that in the event of a qualifying termination, Mr. Ruhl would be entitled to a severance payment equal to the sum of 100% of his base salary, plus the average of the three most recent annual bonus pursuant to the AIP paid to Mr. Ruhl prior to his date of termination, paid in a lump sum cash payment on the Bank’s first regularly scheduled payroll date following the date of termination. Additionally, Mr. Ruhl will be entitled to monthly installment payments, each equal to the monthly COBRA premium in effect as of the date of termination of employment for the level of coverage in effect for Mr. Ruhl under the Bank’s group health plan for up to twelve months following his date of termination.</w:t>
      </w:r>
    </w:p>
    <w:p>
      <w:pPr>
        <w:spacing w:after="0" w:line="12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the event of a qualifying termination upon or within 12 months of a change in control of the Company, the Ruhl Agreement provides that Mr. Ruhl will be entitled to a change in control severance payment equal to two times (i) his annual base salary (at the rate in effect when the change in control occurs or, if higher, at the rate in effect on his date of termination), plus (ii) the average the three most recent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annual bonuses pursuant to the AIP paid to Mr. Ruhl prior to his termination date, payable within 30 days of his date of termination. In addition, Mr. Ruhl will be entitled to a lump sum payment equal to 18 times the monthly COBRA premium in effect as of the date of termination of employment for the level of coverage in effect for Mr. Ruhl (i.e., family coverage) under the Bank’s group health plan. If an excise tax under Code Sections 280G and 4999 would be assessed on the payments or other benefits received under the Ruhl Agreement in connection with a Change in Control, Mr. Ruhl would receive either: (1) all the payments and benefits to which he is entitled under the Ruhl Agreement, subject to the excise tax; or (2) have such payments and benefits reduced by the minimum amount necessary so that the excise tax will not apply, if such reduction would result in a greater net after-tax benefit to Mr. Ruhl.</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Ruhl Agreement provides for non-competition and non-solicitation of employees and customers covenants which apply for 18 months following an involuntary termination for cause or a voluntary termination for Good Reason and for 12 months following a termination for any reason or no reason following the expiration of the term. The non-solicitation covenants, but not the non-competition covenant, apply for 12 months following an involuntary termination without cause or voluntary termination for good reason. The non-competition and non-solicitation covenants will cease immediately upon a change in control.</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Severance Plan for Senior Executives.  </w:t>
      </w:r>
      <w:r>
        <w:rPr>
          <w:rFonts w:ascii="Times New Roman" w:cs="Times New Roman" w:eastAsia="Times New Roman" w:hAnsi="Times New Roman"/>
          <w:sz w:val="18"/>
          <w:szCs w:val="18"/>
          <w:color w:val="auto"/>
        </w:rPr>
        <w:t>Michael Lesler participates in the Orange Bank</w:t>
      </w:r>
    </w:p>
    <w:p>
      <w:pPr>
        <w:spacing w:after="0" w:line="31" w:lineRule="exact"/>
        <w:rPr>
          <w:sz w:val="20"/>
          <w:szCs w:val="20"/>
          <w:color w:val="auto"/>
        </w:rPr>
      </w:pPr>
    </w:p>
    <w:p>
      <w:pPr>
        <w:ind w:left="1260" w:right="459"/>
        <w:spacing w:after="0" w:line="244" w:lineRule="auto"/>
        <w:tabs>
          <w:tab w:leader="none" w:pos="14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Change in Control Severance Plan for Senior Executives (the “CIC Plan”). The terms of his participation are set forth in a participation agreement and the CIC Plan. Under the CIC Plan and related participation agreement, if Mr. Lesler experiences either an involuntary termination other than for cause (as defined in the CIC Plan) or a voluntary termination for good reason (as defined in the CIC Plan) in each case during the “covered period,” which commences with the Company’s initial public announcement of the agreements or other actions that are expected or intended to result in a change of control (as defined in the CIC Plan) and ending 12 months following the occurrence of such change in control (provided, that the covered period will be extended by one month if an event giving rise to good reason occurs within the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or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of the covered period), he will receive the following severance benefits, subject to his execution of a release of claims, (a) a lump sum cash payment equal to the participant’s pro-rata bonus for the year in which the participant is terminated; (b) a lump sum cash payment equal to two times the amount of Mr. Lesler’s annual base salary as in effect immediately before the applicable change in control or, if greater, his annual base salary in effect on his termination date; and (c) a lump sum cash payment equal to</w:t>
      </w:r>
    </w:p>
    <w:p>
      <w:pPr>
        <w:spacing w:after="0" w:line="5" w:lineRule="exact"/>
        <w:rPr>
          <w:rFonts w:ascii="Times New Roman" w:cs="Times New Roman" w:eastAsia="Times New Roman" w:hAnsi="Times New Roman"/>
          <w:sz w:val="18"/>
          <w:szCs w:val="18"/>
          <w:color w:val="auto"/>
        </w:rPr>
      </w:pPr>
    </w:p>
    <w:p>
      <w:pPr>
        <w:ind w:left="126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times the monthly cost of COBRA. The benefits payable to Mr. Lesler under the CIC Plan would reduced to the extent necessary such that no penalties or excise taxes would be imposed by Code Sections 280G or 4999 of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6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stock awards outstanding for each of our named executive officers as of December 31, 2025.</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9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Market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or units of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shares or units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stock 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2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not vested</w:t>
            </w:r>
            <w:r>
              <w:rPr>
                <w:rFonts w:ascii="Times New Roman" w:cs="Times New Roman" w:eastAsia="Times New Roman" w:hAnsi="Times New Roman"/>
                <w:sz w:val="17"/>
                <w:szCs w:val="17"/>
                <w:b w:val="1"/>
                <w:bCs w:val="1"/>
                <w:color w:val="auto"/>
                <w:w w:val="92"/>
                <w:vertAlign w:val="superscript"/>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have not vested ($)</w:t>
            </w:r>
            <w:r>
              <w:rPr>
                <w:rFonts w:ascii="Times New Roman" w:cs="Times New Roman" w:eastAsia="Times New Roman" w:hAnsi="Times New Roman"/>
                <w:sz w:val="17"/>
                <w:szCs w:val="17"/>
                <w:b w:val="1"/>
                <w:bCs w:val="1"/>
                <w:color w:val="auto"/>
                <w:w w:val="94"/>
                <w:vertAlign w:val="superscript"/>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Gilfeather</w:t>
            </w:r>
          </w:p>
        </w:tc>
        <w:tc>
          <w:tcPr>
            <w:tcW w:w="760" w:type="dxa"/>
            <w:vAlign w:val="bottom"/>
            <w:shd w:val="clear" w:color="auto" w:fill="CCEEFF"/>
          </w:tcPr>
          <w:p>
            <w:pPr>
              <w:ind w:left="20"/>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3/10/2023</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ind w:left="440"/>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3,296</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94,101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1/23/2024</w:t>
            </w:r>
          </w:p>
        </w:tc>
        <w:tc>
          <w:tcPr>
            <w:tcW w:w="1360" w:type="dxa"/>
            <w:vAlign w:val="bottom"/>
            <w:shd w:val="clear" w:color="auto" w:fill="CCEEFF"/>
          </w:tcPr>
          <w:p>
            <w:pPr>
              <w:ind w:left="4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5,164</w:t>
            </w:r>
            <w:r>
              <w:rPr>
                <w:rFonts w:ascii="Times New Roman" w:cs="Times New Roman" w:eastAsia="Times New Roman" w:hAnsi="Times New Roman"/>
                <w:sz w:val="21"/>
                <w:szCs w:val="21"/>
                <w:color w:val="auto"/>
                <w:vertAlign w:val="superscript"/>
              </w:rPr>
              <w:t>(3)</w:t>
            </w:r>
          </w:p>
        </w:tc>
        <w:tc>
          <w:tcPr>
            <w:tcW w:w="240" w:type="dxa"/>
            <w:vAlign w:val="bottom"/>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147,432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3/21/2024</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ind w:left="4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11,444</w:t>
            </w:r>
          </w:p>
        </w:tc>
        <w:tc>
          <w:tcPr>
            <w:tcW w:w="240" w:type="dxa"/>
            <w:vAlign w:val="bottom"/>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326,726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2/14/2025</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ind w:left="4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5,247</w:t>
            </w:r>
            <w:r>
              <w:rPr>
                <w:rFonts w:ascii="Times New Roman" w:cs="Times New Roman" w:eastAsia="Times New Roman" w:hAnsi="Times New Roman"/>
                <w:sz w:val="21"/>
                <w:szCs w:val="21"/>
                <w:color w:val="auto"/>
                <w:vertAlign w:val="superscript"/>
              </w:rPr>
              <w:t>(3)</w:t>
            </w:r>
          </w:p>
        </w:tc>
        <w:tc>
          <w:tcPr>
            <w:tcW w:w="240" w:type="dxa"/>
            <w:vAlign w:val="bottom"/>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149,802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194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3/20/2025</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ind w:left="4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19,206</w:t>
            </w:r>
          </w:p>
        </w:tc>
        <w:tc>
          <w:tcPr>
            <w:tcW w:w="240" w:type="dxa"/>
            <w:vAlign w:val="bottom"/>
            <w:tcBorders>
              <w:bottom w:val="single" w:sz="8" w:color="CCEEFF"/>
            </w:tcBorders>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548,331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A. Ruhl</w:t>
            </w:r>
          </w:p>
        </w:tc>
        <w:tc>
          <w:tcPr>
            <w:tcW w:w="760" w:type="dxa"/>
            <w:vAlign w:val="bottom"/>
          </w:tcPr>
          <w:p>
            <w:pPr>
              <w:ind w:left="2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3/10/2023</w:t>
            </w:r>
          </w:p>
        </w:tc>
        <w:tc>
          <w:tcPr>
            <w:tcW w:w="220" w:type="dxa"/>
            <w:vAlign w:val="bottom"/>
          </w:tcPr>
          <w:p>
            <w:pPr>
              <w:spacing w:after="0"/>
              <w:rPr>
                <w:sz w:val="23"/>
                <w:szCs w:val="23"/>
                <w:color w:val="auto"/>
              </w:rPr>
            </w:pPr>
          </w:p>
        </w:tc>
        <w:tc>
          <w:tcPr>
            <w:tcW w:w="1360" w:type="dxa"/>
            <w:vAlign w:val="bottom"/>
          </w:tcPr>
          <w:p>
            <w:pPr>
              <w:ind w:left="44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1,274</w:t>
            </w:r>
          </w:p>
        </w:tc>
        <w:tc>
          <w:tcPr>
            <w:tcW w:w="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36,373</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3/21/2024</w:t>
            </w:r>
          </w:p>
        </w:tc>
        <w:tc>
          <w:tcPr>
            <w:tcW w:w="1360" w:type="dxa"/>
            <w:vAlign w:val="bottom"/>
          </w:tcPr>
          <w:p>
            <w:pPr>
              <w:ind w:left="4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3,686</w:t>
            </w:r>
          </w:p>
        </w:tc>
        <w:tc>
          <w:tcPr>
            <w:tcW w:w="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105,235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3/20/2025</w:t>
            </w:r>
          </w:p>
        </w:tc>
        <w:tc>
          <w:tcPr>
            <w:tcW w:w="1360" w:type="dxa"/>
            <w:vAlign w:val="bottom"/>
          </w:tcPr>
          <w:p>
            <w:pPr>
              <w:ind w:left="4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5,934</w:t>
            </w:r>
          </w:p>
        </w:tc>
        <w:tc>
          <w:tcPr>
            <w:tcW w:w="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169,416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19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65"/>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Lesler</w:t>
            </w:r>
          </w:p>
        </w:tc>
        <w:tc>
          <w:tcPr>
            <w:tcW w:w="980" w:type="dxa"/>
            <w:vAlign w:val="bottom"/>
            <w:gridSpan w:val="2"/>
            <w:shd w:val="clear" w:color="auto" w:fill="CCEEFF"/>
          </w:tcPr>
          <w:p>
            <w:pPr>
              <w:ind w:left="2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3/10/2023</w:t>
            </w:r>
          </w:p>
        </w:tc>
        <w:tc>
          <w:tcPr>
            <w:tcW w:w="1360" w:type="dxa"/>
            <w:vAlign w:val="bottom"/>
            <w:shd w:val="clear" w:color="auto" w:fill="CCEEFF"/>
          </w:tcPr>
          <w:p>
            <w:pPr>
              <w:ind w:left="44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752</w:t>
            </w:r>
          </w:p>
        </w:tc>
        <w:tc>
          <w:tcPr>
            <w:tcW w:w="240" w:type="dxa"/>
            <w:vAlign w:val="bottom"/>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21,470</w:t>
            </w:r>
          </w:p>
        </w:tc>
        <w:tc>
          <w:tcPr>
            <w:tcW w:w="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3/21/2024</w:t>
            </w:r>
          </w:p>
        </w:tc>
        <w:tc>
          <w:tcPr>
            <w:tcW w:w="1360" w:type="dxa"/>
            <w:vAlign w:val="bottom"/>
            <w:shd w:val="clear" w:color="auto" w:fill="CCEEFF"/>
          </w:tcPr>
          <w:p>
            <w:pPr>
              <w:ind w:left="4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2,642</w:t>
            </w:r>
          </w:p>
        </w:tc>
        <w:tc>
          <w:tcPr>
            <w:tcW w:w="240" w:type="dxa"/>
            <w:vAlign w:val="bottom"/>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75,429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9"/>
        </w:trPr>
        <w:tc>
          <w:tcPr>
            <w:tcW w:w="19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20"/>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3/20/2025</w:t>
            </w:r>
          </w:p>
        </w:tc>
        <w:tc>
          <w:tcPr>
            <w:tcW w:w="1360" w:type="dxa"/>
            <w:vAlign w:val="bottom"/>
            <w:shd w:val="clear" w:color="auto" w:fill="CCEEFF"/>
          </w:tcPr>
          <w:p>
            <w:pPr>
              <w:ind w:left="440"/>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5,848</w:t>
            </w:r>
          </w:p>
        </w:tc>
        <w:tc>
          <w:tcPr>
            <w:tcW w:w="240" w:type="dxa"/>
            <w:vAlign w:val="bottom"/>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166,960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-2142490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-2142490</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-2142490</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620" w:right="659" w:hanging="360"/>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generally vest in approximately 33% increments on the first, second and third anniversary of the date of grant, and are subject to executive’s employment on the respective vesting dates.</w:t>
      </w:r>
    </w:p>
    <w:p>
      <w:pPr>
        <w:spacing w:after="0" w:line="13"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is calculated on the basis of $28.55 per share, which was the closing sales price for our common stock as reported on the Nasdaq Capital Market on December 31, 2025.</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vest and become payable on December 31, 2026.</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Stock Options</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have not historically granted stock options or similar awards as part of our equity compensation programs and did not grant any stock options during the year ended December 31, 2025. If stock options or similar awards are granted in the future, our policy is to not grant stock options or similar awards in anticipation of the release of material nonpublic information that is likely to result in changes to the price of our common stock, such as a significant positive or negative earnings announcement, and not time the public release of such information based on stock option grant dates. In addition, it is our policy to not grant stock options or similar awards during periods in which there is material nonpublic information about the Company, including during “blackout” periods or at any time during the four business days prior to or the one business day following the filing of our periodic reports or the filing or furnishing of a Form 8-K that discloses material nonpublic information. These restrictions do not apply to restricted stock awards or other types of equity awards that do not include an exercise price related to the market price of our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for the fiscal year ended December 31, 2025 certain information as to the total remuneration we paid to our non-employee directors. Mr. Gilfeather does not receive any additional compensation for service on the Bank and/or Company Boards of Directors.</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Earned or</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Paid in</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Non-Qualified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2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85"/>
                <w:vertAlign w:val="subscript"/>
              </w:rPr>
              <w:t>($)</w:t>
            </w:r>
            <w:r>
              <w:rPr>
                <w:rFonts w:ascii="Times New Roman" w:cs="Times New Roman" w:eastAsia="Times New Roman" w:hAnsi="Times New Roman"/>
                <w:sz w:val="8"/>
                <w:szCs w:val="8"/>
                <w:b w:val="1"/>
                <w:bCs w:val="1"/>
                <w:color w:val="auto"/>
                <w:w w:val="85"/>
              </w:rPr>
              <w:t>(2)</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Deferred Comp</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(3)</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50"/>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F. Holcombe</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87,552​</w:t>
            </w:r>
          </w:p>
        </w:tc>
        <w:tc>
          <w:tcPr>
            <w:tcW w:w="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​25,761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​113,313</w:t>
            </w:r>
          </w:p>
        </w:tc>
      </w:tr>
      <w:tr>
        <w:trPr>
          <w:trHeight w:val="25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J. Keane</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77,252​</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​25,761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​103,013</w:t>
            </w:r>
          </w:p>
        </w:tc>
      </w:tr>
      <w:tr>
        <w:trPr>
          <w:trHeight w:val="257"/>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Marianna R. Kennedy</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82,402​</w:t>
            </w:r>
          </w:p>
        </w:tc>
        <w:tc>
          <w:tcPr>
            <w:tcW w:w="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​25,761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​108,163</w:t>
            </w:r>
          </w:p>
        </w:tc>
      </w:tr>
      <w:tr>
        <w:trPr>
          <w:trHeight w:val="25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D. Morrison</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98,052​</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​25,761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​123,813</w:t>
            </w:r>
          </w:p>
        </w:tc>
      </w:tr>
      <w:tr>
        <w:trPr>
          <w:trHeight w:val="270"/>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F. Rouis</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​128,752​</w:t>
            </w:r>
          </w:p>
        </w:tc>
        <w:tc>
          <w:tcPr>
            <w:tcW w:w="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​25,761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​154,513</w:t>
            </w:r>
          </w:p>
        </w:tc>
      </w:tr>
      <w:tr>
        <w:trPr>
          <w:trHeight w:val="27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 Rowley</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​103,052​</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​25,761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​128,813</w:t>
            </w:r>
          </w:p>
        </w:tc>
      </w:tr>
      <w:tr>
        <w:trPr>
          <w:trHeight w:val="270"/>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Schiller</w:t>
            </w: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77,252​</w:t>
            </w:r>
          </w:p>
        </w:tc>
        <w:tc>
          <w:tcPr>
            <w:tcW w:w="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​25,761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​103,013</w:t>
            </w:r>
          </w:p>
        </w:tc>
      </w:tr>
      <w:tr>
        <w:trPr>
          <w:trHeight w:val="29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Olga Luz Tirado</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77,252​</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​25,761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-1362710</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-1362710</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-1362710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-1362710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-1362710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85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may defer all or a portion of their fees earned in cash into the Company’s Stock-Based Deferral Plan, as amended and restated.</w:t>
      </w:r>
    </w:p>
    <w:p>
      <w:pPr>
        <w:spacing w:after="0" w:line="13" w:lineRule="exact"/>
        <w:rPr>
          <w:rFonts w:ascii="Times New Roman" w:cs="Times New Roman" w:eastAsia="Times New Roman" w:hAnsi="Times New Roman"/>
          <w:sz w:val="18"/>
          <w:szCs w:val="18"/>
          <w:color w:val="auto"/>
        </w:rPr>
      </w:pPr>
    </w:p>
    <w:p>
      <w:pPr>
        <w:ind w:left="1620" w:right="439" w:hanging="360"/>
        <w:spacing w:after="0" w:line="253"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receives an annual equity award in the form of time-based restricted stock units under the Company’s 2023 Equity Incentive Plan as part of their director compensation. In connection with the equity grants to non-employee directors, the compensation committee engaged AON to conduct a peer analysis and the committee has considered the data provided on its peers. To encourage directors to have a meaningful ownership stake in the Company during their tenure on the Board, the outstanding restricted stock units vest one year from the grant date. As of December 31, 2025, each directors has 995 unvested restricted stock units. Non-employee directors are permitted to defer their restricted stock unit awards under the terms of the Company’s Stock-Based Deferral Plan, as amended and restated. The amounts in this chart represent the aggregate grant date fair value for restricted stock units granted during 2025 computed in accordance with FASB ASC Topic 718. The assumptions used to determine the value of stock awards are described in Note 1 to the Notes to the Consolidated Financial Statements in the Annual Report on Form 10-K.</w:t>
      </w:r>
    </w:p>
    <w:p>
      <w:pPr>
        <w:spacing w:after="0" w:line="4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 and personal benefits for each director did not exceed in the aggregate $10,000.</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Fees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Board determines the compensation of its non-employee members after considering the recommendation of the Compensation Committee and the Compensation Committee’s independent compensation consultant. The Compensation Committee regularly reviews data and analysis provided by its independent compensation consultant to assess the market competitiveness of the compensation structure of our non-employee directors. Following that review, the Compensation Committee approves and recommends to the Board for approval a compensation structure that is intended to provide a mix between cash and equity compensation that is market competitive based on the same peer group that is used by the Compensation Committee when reviewing executive compensation.</w:t>
      </w:r>
    </w:p>
    <w:p>
      <w:pPr>
        <w:spacing w:after="0" w:line="124"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each director of the Company received a fee of $14,936, and the Chairman of the Board received a fee of $25,236 payable in four installments for attending Board and committee meetings.</w:t>
      </w:r>
    </w:p>
    <w:p>
      <w:pPr>
        <w:spacing w:after="0" w:line="95"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each director of the Bank received a fee of $62,316 and the Chairman of the Board received a fee of $103,516 payable in four installments for attending Board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committee meetings. Directors Holcombe, Morrison, and Rowley each received an additional fee of $10,000 payable in four installments for serving on the Directors Loan Committee. Director Kennedy received an additional fee of $5,000 payable in two installments for serving on the Directors Loan Committee beginning on July 1, 2025.</w:t>
      </w:r>
    </w:p>
    <w:p>
      <w:pPr>
        <w:spacing w:after="0" w:line="11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Director Morrison received a retainer fee of $3,000 for serving on the Board of Directors of OIA. Director Rowley received a retainer fee of $5,000 for serving as Chairman of the Board of Directors of OIA. Directors Rowley and Morrison also received a fee of $1,500 per meeting attended. Mr. Gilfeather does not receive any compensation for his service as a director.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Stock-Based Deferral Plan, as amended</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Orange County Bancorp, Inc. Stock-Based Deferral Plan, as amended provides members of the Board of Directors of the Company (“Board”) and its affiliates, including Orange Bank &amp; Trust Company and Orange Investment Advisors, Inc., as well as key executives of the Company and the Bank, with the opportunity to elect to defer Compensation received from the Company or its affiliates for their services and make deemed investments of that deferred Compensation in shares of Company Stock. In addition, non-employee directors may defer equity granted in connection with Board service into the Plan. The plan is intended to constitute a deferred compensation plan that satisfies the requirements of Section 409A of the Internal Revenue Code. Directors Holcombe, Keane, Rouis, Rowley, Schiller, and Tirado participated in the Stock-Based Deferral Plan during 2025. Mr. Gilfeather maintains an account in the Stock-Based Deferral Plan as a result of the one-time transfer of a portion of his account balance in the Performance-Based SERP. Upon separation from service for any reason, the participant’s deferred stock account balance (as of the participant’s separation from service) will be distributed in accordance with the participant’s election. At the time of each deferral, a participant may elect to receive his or her account balance: (i) in a lump sum as soon as practicable following the date the participant has a separation from service or (ii) as an annual benefit payable over a period of two (2) to five (5) years on the first business day of each year commencing with the year following the participant’s separation from service.</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Cash-Based Deferred Compensation Plan, as amended and restated</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Orange County Bancorp, Inc. Deferred Compensation Plan, as amended and restated, is a cash-based non-qualified deferred compensation plan that is intended to satisfy the requirements of Section 409A of the Internal Revenue Code (“Cash-Based Plan”). The Cash-Based Plan was frozen to new participants effective December 31, 2021 and frozen to new deferrals effective January 1, 2023. Directors Holcombe, Morrison, Rouis, and Rowley each have a balance in the Plan. During 2025, participant account balances under the Cash-Based Plan were credited with interest at a rate of 3.6%. Each participant’s account balance in the Cash-Based Plan is distributed in accordance with his or her election. The distribution elections under the Cash-Based Plan are: (i) a lump sum as soon as practicable following the participant’s termination of service, or (ii) an annual benefit paid in monthly installments payable over a period of up to fifteen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PROPOSAL II — RATIFICATION OF APPOINTMENT OF</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3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Audit and Risk Committee of the Company has approved the engagement of Crowe LLP to be our independent registered public accounting firm for the year ending December 31, 2026, subject to the ratification of the engagement by our stockholders. At the annual meeting, stockholders will consider and vote on the ratification of the Audit and Risk Committee’s engagement of Crowe LLP for the year ending December 31, 2026. A representative of Crowe LLP is expected to attend the annual meeting and may respond to appropriate questions and make a statement if he or she so desires.</w:t>
      </w:r>
    </w:p>
    <w:p>
      <w:pPr>
        <w:spacing w:after="0" w:line="12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Even if the engagement of Crowe LLP is ratified, the Audit and Risk Committee, in its discretion, may direct the appointment of a different independent registered public accounting firm at any time during the year if it determines that such change would be in the best interests of the Company and its stockholders.</w:t>
      </w:r>
    </w:p>
    <w:p>
      <w:pPr>
        <w:spacing w:after="0" w:line="95"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certain information concerning aggregate fees billed for professional services rendered by Crowe LLP during the years ended December 31, 2025 and 2024.</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4"/>
                <w:szCs w:val="14"/>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0" w:type="dxa"/>
            <w:vAlign w:val="bottom"/>
            <w:gridSpan w:val="3"/>
          </w:tcPr>
          <w:p>
            <w:pPr>
              <w:ind w:left="16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2025</w:t>
            </w:r>
          </w:p>
        </w:tc>
        <w:tc>
          <w:tcPr>
            <w:tcW w:w="142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2024 </w:t>
            </w:r>
            <w:r>
              <w:rPr>
                <w:rFonts w:ascii="Times New Roman" w:cs="Times New Roman" w:eastAsia="Times New Roman" w:hAnsi="Times New Roman"/>
                <w:sz w:val="24"/>
                <w:szCs w:val="24"/>
                <w:b w:val="1"/>
                <w:bCs w:val="1"/>
                <w:color w:val="auto"/>
                <w:vertAlign w:val="subscript"/>
              </w:rPr>
              <w:t>​</w:t>
            </w:r>
          </w:p>
        </w:tc>
      </w:tr>
      <w:tr>
        <w:trPr>
          <w:trHeight w:val="20"/>
        </w:trPr>
        <w:tc>
          <w:tcPr>
            <w:tcW w:w="310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1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8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​$648,125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​$455,000</w:t>
            </w:r>
          </w:p>
        </w:tc>
        <w:tc>
          <w:tcPr>
            <w:tcW w:w="12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8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8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right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8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0030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66" w:lineRule="exact"/>
        <w:rPr>
          <w:sz w:val="20"/>
          <w:szCs w:val="20"/>
          <w:color w:val="auto"/>
        </w:rPr>
      </w:pPr>
    </w:p>
    <w:p>
      <w:pPr>
        <w:ind w:left="1260" w:right="6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Fees. </w:t>
      </w:r>
      <w:r>
        <w:rPr>
          <w:rFonts w:ascii="Times New Roman" w:cs="Times New Roman" w:eastAsia="Times New Roman" w:hAnsi="Times New Roman"/>
          <w:sz w:val="18"/>
          <w:szCs w:val="18"/>
          <w:color w:val="auto"/>
        </w:rPr>
        <w:t>Audit fees include aggregate fees billed for professional services for the audit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annual consolidated financial statements, limited review of quarterly condensed consolidated financial statements included in periodic reports filed with the Securities and Exchange Commission, consent procedures for the Form S-8 and Form S-3 filings, including out-of-pocket expenses, and the issuance of the comfort letter in connection with the stock offering.</w:t>
      </w:r>
    </w:p>
    <w:p>
      <w:pPr>
        <w:spacing w:after="0" w:line="11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Audit and Risk Committee’s current policy is to pre-approve all audit and non-audit services provided by the independent registered public accounting firm, either by approving an engagement prior to the engagement or pursuant to a pre-approval policy with respect to particular services, subject to the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exceptions for non-audit services described in Section 10A(i)(1)(B) of the Securities 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1934, as amended. These services may include audit services, audit-related services, tax services and other services. The Audit and Risk Committee may delegate pre-approval authority to one or more members of the Audit and Risk Committee when expedition of services is necessary. The independent registered public accounting firm and management are required to periodically report to the full Audit and Risk Committee regarding the extent of services provided by the independent registered public accounting firm in accordance with this pre-approval, and the fees for the services performed to date. The Audit and Risk Committee pre-approved 100% of audit fees billed and paid during the year ended December 31, 2025, as indicated in the table above.</w:t>
      </w:r>
    </w:p>
    <w:p>
      <w:pPr>
        <w:spacing w:after="0" w:line="336" w:lineRule="exact"/>
        <w:rPr>
          <w:sz w:val="20"/>
          <w:szCs w:val="20"/>
          <w:color w:val="auto"/>
        </w:rPr>
      </w:pPr>
    </w:p>
    <w:p>
      <w:pPr>
        <w:ind w:left="1260" w:right="11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Crowe LLP as independent registered public accounting firm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 order to be eligible for inclusion in the proxy materials for our 2027 Annual Meeting of Stockholders, any stockholder proposal to take action at such meeting must be received at Orange County Bancorp, Inc.’s executive office, 212 Dolson Avenue, Middletown, New York 10940, no later than December 16, 2026, which is 120 days prior to the anniversary of the date we expect to mail these proxy materials. If the date of the 2027 Annual Meeting of Stockholders is changed by more than 30 days, any stockholder proposal must be received at a reasonable time before we print or mail proxy materials for such meeting. Any such proposals shall be subject to the requirements of the proxy rules adopted under the Securities Exchange Act of 1934.</w:t>
      </w:r>
    </w:p>
    <w:p>
      <w:pPr>
        <w:spacing w:after="0" w:line="337"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Under SEC Rule 14a-19, a stockholder intending to engage in a director election contest with respect to the Company’s annual meeting of stockholders to be held in 2027 must give the Company notice of its intent to solicit proxies by providing the names of its nominees and certain other information at least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60 calendar days before the anniversary of the previous year’s annual meeting. This deadline is March 29,</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2027.</w:t>
      </w:r>
    </w:p>
    <w:p>
      <w:pPr>
        <w:spacing w:after="0" w:line="12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addition to the requirement set forth under SEC Rule 14a-19, in order to be brought before an annual meeting of stockholders, any new business or a director nomination proposed by a stockholder must be stated in writing and received by our Corporate Secretary at least 90 days prior to the date of the anniversary date of the previous year’s annual meeting. Accordingly, advance written notice for certain business, or nominations to the Board of Directors, to be brought before the next annual meeting must be given to us no later than February 25, 2027. If notice is received after February 25, 2027, the proposal or nomination will be considered untimely, and we will not be required to present the matter at the stockholders meeting. In order for a stockholder to make a director nomination, such stockholder or group of stockholders must beneficially own more than 5% of the Company’s outstanding common stock and have held such stock for at least one year prior to the date of the nomination.</w:t>
      </w:r>
    </w:p>
    <w:p>
      <w:pPr>
        <w:spacing w:after="0" w:line="127"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Nothing in this proxy statement shall be deemed to require us to include in our proxy statement and proxy relating to an annual meeting any stockholder proposal that does not meet all of the requirements for inclusion established by the Securities and Exchange Commission in effect at the time such proposal is received.</w:t>
      </w:r>
    </w:p>
    <w:p>
      <w:pPr>
        <w:spacing w:after="0" w:line="39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is not aware of any business to come before the annual meeting other than the matters described above in the Proxy Statement. However, if any matters should properly come before the annual meeting, it is intended that the Board of Directors, as holders of the proxies, will act as determined by a majority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58" w:lineRule="exact"/>
        <w:rPr>
          <w:sz w:val="20"/>
          <w:szCs w:val="20"/>
          <w:color w:val="auto"/>
        </w:rPr>
      </w:pPr>
    </w:p>
    <w:p>
      <w:pPr>
        <w:ind w:left="1260" w:right="5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 COPY OF ORANGE COUNTY BANCORP, INC.’S ANNUAL REPORT ON FORM 10-K FOR THE YEAR ENDED DECEMBER 31, 2025 WILL BE FURNISHED WITHOUT CHARGE TO STOCKHOLDERS AS OF THE RECORD DATE UPON WRITTEN REQUEST TO THE CORPORATE SECRETARY OR BY CALLING 845-341-5000.</w:t>
      </w:r>
    </w:p>
    <w:p>
      <w:pPr>
        <w:spacing w:after="0" w:line="10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148"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Orange County Bancorp, Inc.’s Proxy Statement, including the Notice of the Annual Meeting of Stockholders, 2025 Form 10-K and the 2025 Annual Report are each available on the Internet at </w:t>
      </w:r>
      <w:r>
        <w:rPr>
          <w:rFonts w:ascii="Times New Roman" w:cs="Times New Roman" w:eastAsia="Times New Roman" w:hAnsi="Times New Roman"/>
          <w:sz w:val="18"/>
          <w:szCs w:val="18"/>
          <w:b w:val="1"/>
          <w:bCs w:val="1"/>
          <w:color w:val="auto"/>
        </w:rPr>
        <w:t>www.envisionreports.com/OBT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Jennifer Staub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Jennifer Staub</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Middletown, New York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7134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87134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7134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871347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2"/>
    </w:lvl>
  </w:abstractNum>
  <w:abstractNum w:abstractNumId="20">
    <w:nsid w:val="2443A858"/>
    <w:multiLevelType w:val="hybridMultilevel"/>
    <w:lvl w:ilvl="0">
      <w:lvlJc w:val="left"/>
      <w:lvlText w:val="(%1)"/>
      <w:numFmt w:val="lowerRoman"/>
      <w:start w:val="2"/>
    </w:lvl>
  </w:abstractNum>
  <w:abstractNum w:abstractNumId="21">
    <w:nsid w:val="2D1D5AE9"/>
    <w:multiLevelType w:val="hybridMultilevel"/>
    <w:lvl w:ilvl="0">
      <w:lvlJc w:val="left"/>
      <w:lvlText w:val="&amp;"/>
      <w:numFmt w:val="bullet"/>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2026-04-15T15:09:25Z</dcterms:created>
  <dcterms:modified xsi:type="dcterms:W3CDTF">2026-04-15T15:09:25Z</dcterms:modified>
</cp:coreProperties>
</file>